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418B9" w14:textId="1D11B862" w:rsidR="002406A5" w:rsidRDefault="00577576" w:rsidP="000A3B71">
      <w:pPr>
        <w:ind w:left="4800" w:hanging="1398"/>
        <w:rPr>
          <w:sz w:val="20"/>
          <w:szCs w:val="20"/>
        </w:rPr>
      </w:pPr>
      <w:bookmarkStart w:id="0" w:name="page1"/>
      <w:bookmarkEnd w:id="0"/>
      <w:r>
        <w:rPr>
          <w:rFonts w:ascii="Arial" w:eastAsia="Arial" w:hAnsi="Arial" w:cs="Arial"/>
          <w:sz w:val="19"/>
          <w:szCs w:val="19"/>
        </w:rPr>
        <w:t>Anuario del Centro de Investigación y Estudios Políticos</w:t>
      </w:r>
      <w:r w:rsidR="000A3B71">
        <w:rPr>
          <w:rFonts w:ascii="Arial" w:eastAsia="Arial" w:hAnsi="Arial" w:cs="Arial"/>
          <w:sz w:val="19"/>
          <w:szCs w:val="19"/>
        </w:rPr>
        <w:t xml:space="preserve">, </w:t>
      </w:r>
      <w:r w:rsidR="000A3B71">
        <w:rPr>
          <w:rFonts w:ascii="Arial" w:eastAsia="Arial" w:hAnsi="Arial" w:cs="Arial"/>
          <w:sz w:val="20"/>
          <w:szCs w:val="20"/>
        </w:rPr>
        <w:t>ISSN: 2215-2873</w:t>
      </w:r>
    </w:p>
    <w:p w14:paraId="35B418BA" w14:textId="77777777" w:rsidR="002406A5" w:rsidRDefault="002406A5">
      <w:pPr>
        <w:spacing w:line="42" w:lineRule="exact"/>
        <w:rPr>
          <w:sz w:val="24"/>
          <w:szCs w:val="24"/>
        </w:rPr>
      </w:pPr>
    </w:p>
    <w:p w14:paraId="35B418BB" w14:textId="48FEA9B8" w:rsidR="002406A5" w:rsidRDefault="00577576" w:rsidP="00577576">
      <w:pPr>
        <w:ind w:right="539"/>
        <w:jc w:val="right"/>
        <w:rPr>
          <w:sz w:val="20"/>
          <w:szCs w:val="20"/>
        </w:rPr>
      </w:pPr>
      <w:r>
        <w:rPr>
          <w:rFonts w:ascii="Arial" w:eastAsia="Arial" w:hAnsi="Arial" w:cs="Arial"/>
          <w:sz w:val="20"/>
          <w:szCs w:val="20"/>
        </w:rPr>
        <w:t>Universidad de Costa Rica, 10: 145-147, 2019</w:t>
      </w:r>
      <w:r w:rsidR="000A3B71">
        <w:rPr>
          <w:rFonts w:ascii="Arial" w:eastAsia="Arial" w:hAnsi="Arial" w:cs="Arial"/>
          <w:sz w:val="20"/>
          <w:szCs w:val="20"/>
        </w:rPr>
        <w:t xml:space="preserve">, DOI: </w:t>
      </w:r>
      <w:r w:rsidRPr="00577576">
        <w:rPr>
          <w:rFonts w:ascii="Arial" w:eastAsia="Arial" w:hAnsi="Arial" w:cs="Arial"/>
          <w:sz w:val="20"/>
          <w:szCs w:val="20"/>
        </w:rPr>
        <w:t>10.15517/ACIEP.V0I10.41957</w:t>
      </w:r>
    </w:p>
    <w:p w14:paraId="35B418BC" w14:textId="77777777" w:rsidR="002406A5" w:rsidRDefault="002406A5">
      <w:pPr>
        <w:spacing w:line="285" w:lineRule="exact"/>
        <w:rPr>
          <w:sz w:val="24"/>
          <w:szCs w:val="24"/>
        </w:rPr>
      </w:pPr>
    </w:p>
    <w:p w14:paraId="35B418BD" w14:textId="77777777" w:rsidR="002406A5" w:rsidRPr="000A3B71" w:rsidRDefault="00577576">
      <w:pPr>
        <w:tabs>
          <w:tab w:val="left" w:pos="2020"/>
          <w:tab w:val="left" w:pos="2600"/>
          <w:tab w:val="left" w:pos="3780"/>
          <w:tab w:val="left" w:pos="4260"/>
          <w:tab w:val="left" w:pos="4700"/>
          <w:tab w:val="left" w:pos="6200"/>
          <w:tab w:val="left" w:pos="6700"/>
          <w:tab w:val="left" w:pos="7680"/>
        </w:tabs>
        <w:ind w:left="820"/>
        <w:rPr>
          <w:sz w:val="20"/>
          <w:szCs w:val="20"/>
          <w:lang w:val="en-US"/>
        </w:rPr>
      </w:pPr>
      <w:r>
        <w:rPr>
          <w:rFonts w:ascii="Arial" w:eastAsia="Arial" w:hAnsi="Arial" w:cs="Arial"/>
          <w:b/>
          <w:bCs/>
          <w:color w:val="003E70"/>
          <w:sz w:val="24"/>
          <w:szCs w:val="24"/>
        </w:rPr>
        <w:t>AYKUT,</w:t>
      </w:r>
      <w:r>
        <w:rPr>
          <w:rFonts w:ascii="Arial" w:eastAsia="Arial" w:hAnsi="Arial" w:cs="Arial"/>
          <w:b/>
          <w:bCs/>
          <w:color w:val="003E70"/>
          <w:sz w:val="24"/>
          <w:szCs w:val="24"/>
        </w:rPr>
        <w:tab/>
        <w:t>S.,</w:t>
      </w:r>
      <w:r>
        <w:rPr>
          <w:rFonts w:ascii="Arial" w:eastAsia="Arial" w:hAnsi="Arial" w:cs="Arial"/>
          <w:b/>
          <w:bCs/>
          <w:color w:val="003E70"/>
          <w:sz w:val="24"/>
          <w:szCs w:val="24"/>
        </w:rPr>
        <w:tab/>
        <w:t>FOYER,</w:t>
      </w:r>
      <w:r>
        <w:rPr>
          <w:rFonts w:ascii="Arial" w:eastAsia="Arial" w:hAnsi="Arial" w:cs="Arial"/>
          <w:b/>
          <w:bCs/>
          <w:color w:val="003E70"/>
          <w:sz w:val="24"/>
          <w:szCs w:val="24"/>
        </w:rPr>
        <w:tab/>
        <w:t>J.</w:t>
      </w:r>
      <w:r>
        <w:rPr>
          <w:rFonts w:ascii="Arial" w:eastAsia="Arial" w:hAnsi="Arial" w:cs="Arial"/>
          <w:b/>
          <w:bCs/>
          <w:color w:val="003E70"/>
          <w:sz w:val="24"/>
          <w:szCs w:val="24"/>
        </w:rPr>
        <w:tab/>
        <w:t>Y</w:t>
      </w:r>
      <w:r>
        <w:rPr>
          <w:rFonts w:ascii="Arial" w:eastAsia="Arial" w:hAnsi="Arial" w:cs="Arial"/>
          <w:b/>
          <w:bCs/>
          <w:color w:val="003E70"/>
          <w:sz w:val="24"/>
          <w:szCs w:val="24"/>
        </w:rPr>
        <w:tab/>
        <w:t>MORENA,</w:t>
      </w:r>
      <w:r>
        <w:rPr>
          <w:rFonts w:ascii="Arial" w:eastAsia="Arial" w:hAnsi="Arial" w:cs="Arial"/>
          <w:b/>
          <w:bCs/>
          <w:color w:val="003E70"/>
          <w:sz w:val="24"/>
          <w:szCs w:val="24"/>
        </w:rPr>
        <w:tab/>
        <w:t>E.</w:t>
      </w:r>
      <w:r>
        <w:rPr>
          <w:rFonts w:ascii="Arial" w:eastAsia="Arial" w:hAnsi="Arial" w:cs="Arial"/>
          <w:b/>
          <w:bCs/>
          <w:color w:val="003E70"/>
          <w:sz w:val="24"/>
          <w:szCs w:val="24"/>
        </w:rPr>
        <w:tab/>
        <w:t>(EDS.)</w:t>
      </w:r>
      <w:r>
        <w:rPr>
          <w:rFonts w:ascii="Arial" w:eastAsia="Arial" w:hAnsi="Arial" w:cs="Arial"/>
          <w:b/>
          <w:bCs/>
          <w:color w:val="003E70"/>
          <w:sz w:val="24"/>
          <w:szCs w:val="24"/>
        </w:rPr>
        <w:tab/>
      </w:r>
      <w:r w:rsidRPr="000A3B71">
        <w:rPr>
          <w:rFonts w:ascii="Arial" w:eastAsia="Arial" w:hAnsi="Arial" w:cs="Arial"/>
          <w:b/>
          <w:bCs/>
          <w:color w:val="003E70"/>
          <w:sz w:val="24"/>
          <w:szCs w:val="24"/>
          <w:lang w:val="en-US"/>
        </w:rPr>
        <w:t>(2017)</w:t>
      </w:r>
    </w:p>
    <w:p w14:paraId="35B418BE" w14:textId="77777777" w:rsidR="002406A5" w:rsidRPr="000A3B71" w:rsidRDefault="002406A5">
      <w:pPr>
        <w:spacing w:line="34" w:lineRule="exact"/>
        <w:rPr>
          <w:sz w:val="24"/>
          <w:szCs w:val="24"/>
          <w:lang w:val="en-US"/>
        </w:rPr>
      </w:pPr>
    </w:p>
    <w:p w14:paraId="35B418BF" w14:textId="77777777" w:rsidR="002406A5" w:rsidRDefault="00577576">
      <w:pPr>
        <w:spacing w:line="255" w:lineRule="auto"/>
        <w:ind w:left="820" w:right="1800"/>
        <w:jc w:val="both"/>
        <w:rPr>
          <w:sz w:val="20"/>
          <w:szCs w:val="20"/>
        </w:rPr>
      </w:pPr>
      <w:r w:rsidRPr="000A3B71">
        <w:rPr>
          <w:rFonts w:ascii="Arial" w:eastAsia="Arial" w:hAnsi="Arial" w:cs="Arial"/>
          <w:b/>
          <w:bCs/>
          <w:color w:val="003E70"/>
          <w:sz w:val="24"/>
          <w:szCs w:val="24"/>
          <w:lang w:val="en-US"/>
        </w:rPr>
        <w:t xml:space="preserve">GLOBALISING THE CLIMATE: COP21 AND THE CLIMATIZATION OF GLOBAL DEBATES. </w:t>
      </w:r>
      <w:r>
        <w:rPr>
          <w:rFonts w:ascii="Arial" w:eastAsia="Arial" w:hAnsi="Arial" w:cs="Arial"/>
          <w:b/>
          <w:bCs/>
          <w:color w:val="003E70"/>
          <w:sz w:val="24"/>
          <w:szCs w:val="24"/>
        </w:rPr>
        <w:t xml:space="preserve">NUEVA </w:t>
      </w:r>
      <w:r>
        <w:rPr>
          <w:rFonts w:ascii="Arial" w:eastAsia="Arial" w:hAnsi="Arial" w:cs="Arial"/>
          <w:b/>
          <w:bCs/>
          <w:color w:val="003E70"/>
          <w:sz w:val="24"/>
          <w:szCs w:val="24"/>
        </w:rPr>
        <w:t>YORK: EARTHSCAN Y ROUTLEDGE.</w:t>
      </w:r>
    </w:p>
    <w:p w14:paraId="35B418C0" w14:textId="77777777" w:rsidR="002406A5" w:rsidRDefault="002406A5">
      <w:pPr>
        <w:spacing w:line="58" w:lineRule="exact"/>
        <w:rPr>
          <w:sz w:val="24"/>
          <w:szCs w:val="24"/>
        </w:rPr>
      </w:pPr>
    </w:p>
    <w:p w14:paraId="35B418C1" w14:textId="77777777" w:rsidR="002406A5" w:rsidRDefault="00577576">
      <w:pPr>
        <w:spacing w:line="257" w:lineRule="auto"/>
        <w:ind w:left="820" w:right="1800"/>
        <w:jc w:val="both"/>
        <w:rPr>
          <w:sz w:val="20"/>
          <w:szCs w:val="20"/>
        </w:rPr>
      </w:pPr>
      <w:r>
        <w:rPr>
          <w:rFonts w:eastAsia="Times New Roman"/>
          <w:sz w:val="23"/>
          <w:szCs w:val="23"/>
        </w:rPr>
        <w:t>La XXI Conferencia de Partes de la Convención Mundial del Cambio Climático (COP21), celebrada en París en 2015, fue una cumbre global de gran importancia. Vista por muchos como la encrucijada histórica para alcanzar acuerdos d</w:t>
      </w:r>
      <w:r>
        <w:rPr>
          <w:rFonts w:eastAsia="Times New Roman"/>
          <w:sz w:val="23"/>
          <w:szCs w:val="23"/>
        </w:rPr>
        <w:t>uraderos sobre la catástrofe climatológica mundial, la COP21 reunió a negociadores, científicos, periodistas, empresarios y representantes de la sociedad civil y se constituyó como una vitrina incomparable para estudiar el funcionamiento de la gobernanza a</w:t>
      </w:r>
      <w:r>
        <w:rPr>
          <w:rFonts w:eastAsia="Times New Roman"/>
          <w:sz w:val="23"/>
          <w:szCs w:val="23"/>
        </w:rPr>
        <w:t xml:space="preserve">mbiental global, en tiempo real. </w:t>
      </w:r>
      <w:r>
        <w:rPr>
          <w:rFonts w:eastAsia="Times New Roman"/>
          <w:i/>
          <w:iCs/>
          <w:sz w:val="23"/>
          <w:szCs w:val="23"/>
        </w:rPr>
        <w:t>Globalising the climate: COP21</w:t>
      </w:r>
      <w:r>
        <w:rPr>
          <w:rFonts w:eastAsia="Times New Roman"/>
          <w:sz w:val="23"/>
          <w:szCs w:val="23"/>
        </w:rPr>
        <w:t xml:space="preserve"> </w:t>
      </w:r>
      <w:r>
        <w:rPr>
          <w:rFonts w:eastAsia="Times New Roman"/>
          <w:i/>
          <w:iCs/>
          <w:sz w:val="23"/>
          <w:szCs w:val="23"/>
        </w:rPr>
        <w:t xml:space="preserve">and the climatisation of global debates </w:t>
      </w:r>
      <w:r>
        <w:rPr>
          <w:rFonts w:eastAsia="Times New Roman"/>
          <w:sz w:val="23"/>
          <w:szCs w:val="23"/>
        </w:rPr>
        <w:t>ofrece a sus lectores un análisis del</w:t>
      </w:r>
      <w:r>
        <w:rPr>
          <w:rFonts w:eastAsia="Times New Roman"/>
          <w:i/>
          <w:iCs/>
          <w:sz w:val="23"/>
          <w:szCs w:val="23"/>
        </w:rPr>
        <w:t xml:space="preserve"> </w:t>
      </w:r>
      <w:r>
        <w:rPr>
          <w:rFonts w:eastAsia="Times New Roman"/>
          <w:sz w:val="23"/>
          <w:szCs w:val="23"/>
        </w:rPr>
        <w:t>desenvolvimiento de esta conferencia y su impacto en la gobernanza climática.</w:t>
      </w:r>
    </w:p>
    <w:p w14:paraId="35B418C2" w14:textId="77777777" w:rsidR="002406A5" w:rsidRDefault="002406A5">
      <w:pPr>
        <w:spacing w:line="57" w:lineRule="exact"/>
        <w:rPr>
          <w:sz w:val="24"/>
          <w:szCs w:val="24"/>
        </w:rPr>
      </w:pPr>
    </w:p>
    <w:p w14:paraId="35B418C3" w14:textId="77777777" w:rsidR="002406A5" w:rsidRDefault="00577576">
      <w:pPr>
        <w:spacing w:line="245" w:lineRule="auto"/>
        <w:ind w:left="820" w:right="1800"/>
        <w:jc w:val="both"/>
        <w:rPr>
          <w:sz w:val="20"/>
          <w:szCs w:val="20"/>
        </w:rPr>
      </w:pPr>
      <w:r>
        <w:rPr>
          <w:rFonts w:eastAsia="Times New Roman"/>
          <w:sz w:val="24"/>
          <w:szCs w:val="24"/>
        </w:rPr>
        <w:t>El libro ofrece los hallazgos obten</w:t>
      </w:r>
      <w:r>
        <w:rPr>
          <w:rFonts w:eastAsia="Times New Roman"/>
          <w:sz w:val="24"/>
          <w:szCs w:val="24"/>
        </w:rPr>
        <w:t>idos por un equipo multidisciplinario de veinte académicos expertos en gobernanza ambiental sobre la COP21. Haciendo uso de una etnografía de evento sobre las múltiples actividades de la conferencia (desde las mesas de negociación y los discursos oficiales</w:t>
      </w:r>
      <w:r>
        <w:rPr>
          <w:rFonts w:eastAsia="Times New Roman"/>
          <w:sz w:val="24"/>
          <w:szCs w:val="24"/>
        </w:rPr>
        <w:t xml:space="preserve"> hasta mítines, exposiciones artísticas y conferencias públicas de actores de la sociedad civil), </w:t>
      </w:r>
      <w:r>
        <w:rPr>
          <w:rFonts w:eastAsia="Times New Roman"/>
          <w:i/>
          <w:iCs/>
          <w:sz w:val="24"/>
          <w:szCs w:val="24"/>
        </w:rPr>
        <w:t>Globalising the</w:t>
      </w:r>
      <w:r>
        <w:rPr>
          <w:rFonts w:eastAsia="Times New Roman"/>
          <w:sz w:val="24"/>
          <w:szCs w:val="24"/>
        </w:rPr>
        <w:t xml:space="preserve"> </w:t>
      </w:r>
      <w:r>
        <w:rPr>
          <w:rFonts w:eastAsia="Times New Roman"/>
          <w:i/>
          <w:iCs/>
          <w:sz w:val="24"/>
          <w:szCs w:val="24"/>
        </w:rPr>
        <w:t xml:space="preserve">climate </w:t>
      </w:r>
      <w:r>
        <w:rPr>
          <w:rFonts w:eastAsia="Times New Roman"/>
          <w:sz w:val="24"/>
          <w:szCs w:val="24"/>
        </w:rPr>
        <w:t>estudia las transformaciones actuales en la política del cambio climático,</w:t>
      </w:r>
      <w:r>
        <w:rPr>
          <w:rFonts w:eastAsia="Times New Roman"/>
          <w:i/>
          <w:iCs/>
          <w:sz w:val="24"/>
          <w:szCs w:val="24"/>
        </w:rPr>
        <w:t xml:space="preserve"> </w:t>
      </w:r>
      <w:r>
        <w:rPr>
          <w:rFonts w:eastAsia="Times New Roman"/>
          <w:sz w:val="24"/>
          <w:szCs w:val="24"/>
        </w:rPr>
        <w:t>así como el impacto del cambio climático sobre otros debate</w:t>
      </w:r>
      <w:r>
        <w:rPr>
          <w:rFonts w:eastAsia="Times New Roman"/>
          <w:sz w:val="24"/>
          <w:szCs w:val="24"/>
        </w:rPr>
        <w:t>s políticos, económicos y sociales a escala global.</w:t>
      </w:r>
    </w:p>
    <w:p w14:paraId="35B418C4" w14:textId="77777777" w:rsidR="002406A5" w:rsidRDefault="002406A5">
      <w:pPr>
        <w:spacing w:line="74" w:lineRule="exact"/>
        <w:rPr>
          <w:sz w:val="24"/>
          <w:szCs w:val="24"/>
        </w:rPr>
      </w:pPr>
    </w:p>
    <w:p w14:paraId="35B418C5" w14:textId="77777777" w:rsidR="002406A5" w:rsidRDefault="00577576">
      <w:pPr>
        <w:spacing w:line="255" w:lineRule="auto"/>
        <w:ind w:left="820" w:right="1800"/>
        <w:jc w:val="both"/>
        <w:rPr>
          <w:sz w:val="20"/>
          <w:szCs w:val="20"/>
        </w:rPr>
      </w:pPr>
      <w:r>
        <w:rPr>
          <w:rFonts w:eastAsia="Times New Roman"/>
          <w:sz w:val="23"/>
          <w:szCs w:val="23"/>
        </w:rPr>
        <w:t>La riqueza académica de este libro proviene de su abordaje particular. En lugar de solamente concentrarse en estudiar los resultados formales que surgen de estos “mega-eventos globales” (e.g.: los acuerd</w:t>
      </w:r>
      <w:r>
        <w:rPr>
          <w:rFonts w:eastAsia="Times New Roman"/>
          <w:sz w:val="23"/>
          <w:szCs w:val="23"/>
        </w:rPr>
        <w:t>os y declaraciones oficiales), el equipo de investigación abordó las múltiples prácticas performativas que los diferentes actores participantes usaron para incidir sobre la construcción de estos resultados. Así, hay contribuciones que exploran el proceso d</w:t>
      </w:r>
      <w:r>
        <w:rPr>
          <w:rFonts w:eastAsia="Times New Roman"/>
          <w:sz w:val="23"/>
          <w:szCs w:val="23"/>
        </w:rPr>
        <w:t>elicado – pero sumamente político – de construcción de lenguaje que acompaña la redacción de los acuerdos oficiales. Otras analizan cómo la ciencia del cambio climático – usualmente presentada como políticamente neutral – se construye de una manera que per</w:t>
      </w:r>
      <w:r>
        <w:rPr>
          <w:rFonts w:eastAsia="Times New Roman"/>
          <w:sz w:val="23"/>
          <w:szCs w:val="23"/>
        </w:rPr>
        <w:t>mite definir metas políticas. Varios otros capítulos estudian la manera en que se han formado economías políticas de ideas alrededor de la participación (y el dinero) de otros actores clave, como empresarios, filántropos y cooperantes.</w:t>
      </w:r>
    </w:p>
    <w:p w14:paraId="35B418C6" w14:textId="77777777" w:rsidR="002406A5" w:rsidRDefault="002406A5">
      <w:pPr>
        <w:spacing w:line="55" w:lineRule="exact"/>
        <w:rPr>
          <w:sz w:val="24"/>
          <w:szCs w:val="24"/>
        </w:rPr>
      </w:pPr>
    </w:p>
    <w:p w14:paraId="35B418C7" w14:textId="77777777" w:rsidR="002406A5" w:rsidRDefault="00577576">
      <w:pPr>
        <w:spacing w:line="244" w:lineRule="auto"/>
        <w:ind w:left="820" w:right="1800"/>
        <w:jc w:val="both"/>
        <w:rPr>
          <w:sz w:val="20"/>
          <w:szCs w:val="20"/>
        </w:rPr>
      </w:pPr>
      <w:r>
        <w:rPr>
          <w:rFonts w:eastAsia="Times New Roman"/>
          <w:sz w:val="24"/>
          <w:szCs w:val="24"/>
        </w:rPr>
        <w:t xml:space="preserve">El </w:t>
      </w:r>
      <w:r>
        <w:rPr>
          <w:rFonts w:eastAsia="Times New Roman"/>
          <w:sz w:val="24"/>
          <w:szCs w:val="24"/>
        </w:rPr>
        <w:t>argumento amalgamador del libro es que la COP21 y sus predecesoras, lejos de “resolver” el cambio climático, buscaban “hacerlo gobernable”. Es decir, la intención de estas conferencias es encontrar formas de definir y redefinir el cambio climático de una f</w:t>
      </w:r>
      <w:r>
        <w:rPr>
          <w:rFonts w:eastAsia="Times New Roman"/>
          <w:sz w:val="24"/>
          <w:szCs w:val="24"/>
        </w:rPr>
        <w:t>orma que pueda ser incorporado dentro de los órdenes geopolíticos y culturales actuales y hacerlo susceptible a las rutinas institucionales y organizacionales ya existentes. Puesto de otro modo, el objetivo es “construir el cambio climático” para (re-)cons</w:t>
      </w:r>
      <w:r>
        <w:rPr>
          <w:rFonts w:eastAsia="Times New Roman"/>
          <w:sz w:val="24"/>
          <w:szCs w:val="24"/>
        </w:rPr>
        <w:t>tituir y (re-)consolidar la hegemonía global y la legitimidad política de las instituciones que han sido creadas para abordarlo. En estos términos, la intención es la formación de un régimen climático global, entendido como el andamiaje político que busca</w:t>
      </w:r>
    </w:p>
    <w:p w14:paraId="35B418C8" w14:textId="77777777" w:rsidR="002406A5" w:rsidRDefault="002406A5">
      <w:pPr>
        <w:sectPr w:rsidR="002406A5">
          <w:pgSz w:w="12240" w:h="15840"/>
          <w:pgMar w:top="724" w:right="480" w:bottom="3" w:left="1440" w:header="0" w:footer="0" w:gutter="0"/>
          <w:cols w:space="720" w:equalWidth="0">
            <w:col w:w="10320"/>
          </w:cols>
        </w:sectPr>
      </w:pPr>
    </w:p>
    <w:p w14:paraId="35B418C9" w14:textId="77777777" w:rsidR="002406A5" w:rsidRDefault="002406A5">
      <w:pPr>
        <w:spacing w:line="200" w:lineRule="exact"/>
        <w:rPr>
          <w:sz w:val="24"/>
          <w:szCs w:val="24"/>
        </w:rPr>
      </w:pPr>
    </w:p>
    <w:p w14:paraId="35B418CA" w14:textId="77777777" w:rsidR="002406A5" w:rsidRDefault="002406A5">
      <w:pPr>
        <w:spacing w:line="200" w:lineRule="exact"/>
        <w:rPr>
          <w:sz w:val="24"/>
          <w:szCs w:val="24"/>
        </w:rPr>
      </w:pPr>
    </w:p>
    <w:p w14:paraId="35B418CB" w14:textId="77777777" w:rsidR="002406A5" w:rsidRDefault="002406A5">
      <w:pPr>
        <w:spacing w:line="200" w:lineRule="exact"/>
        <w:rPr>
          <w:sz w:val="24"/>
          <w:szCs w:val="24"/>
        </w:rPr>
      </w:pPr>
    </w:p>
    <w:p w14:paraId="35B418CC" w14:textId="77777777" w:rsidR="002406A5" w:rsidRDefault="002406A5">
      <w:pPr>
        <w:spacing w:line="200" w:lineRule="exact"/>
        <w:rPr>
          <w:sz w:val="24"/>
          <w:szCs w:val="24"/>
        </w:rPr>
      </w:pPr>
    </w:p>
    <w:p w14:paraId="35B418CD" w14:textId="77777777" w:rsidR="002406A5" w:rsidRDefault="002406A5">
      <w:pPr>
        <w:spacing w:line="305" w:lineRule="exact"/>
        <w:rPr>
          <w:sz w:val="24"/>
          <w:szCs w:val="24"/>
        </w:rPr>
      </w:pPr>
    </w:p>
    <w:p w14:paraId="35B418CE" w14:textId="77777777" w:rsidR="002406A5" w:rsidRDefault="00577576">
      <w:pPr>
        <w:ind w:left="9940"/>
        <w:rPr>
          <w:sz w:val="20"/>
          <w:szCs w:val="20"/>
        </w:rPr>
      </w:pPr>
      <w:r>
        <w:rPr>
          <w:rFonts w:ascii="Arial" w:eastAsia="Arial" w:hAnsi="Arial" w:cs="Arial"/>
        </w:rPr>
        <w:t>145</w:t>
      </w:r>
    </w:p>
    <w:p w14:paraId="35B418CF" w14:textId="77777777" w:rsidR="002406A5" w:rsidRDefault="002406A5">
      <w:pPr>
        <w:sectPr w:rsidR="002406A5">
          <w:type w:val="continuous"/>
          <w:pgSz w:w="12240" w:h="15840"/>
          <w:pgMar w:top="724" w:right="480" w:bottom="3" w:left="1440" w:header="0" w:footer="0" w:gutter="0"/>
          <w:cols w:space="720" w:equalWidth="0">
            <w:col w:w="10320"/>
          </w:cols>
        </w:sectPr>
      </w:pPr>
    </w:p>
    <w:p w14:paraId="35B418D0" w14:textId="77777777" w:rsidR="002406A5" w:rsidRDefault="00577576">
      <w:pPr>
        <w:ind w:left="3680"/>
        <w:rPr>
          <w:sz w:val="20"/>
          <w:szCs w:val="20"/>
        </w:rPr>
      </w:pPr>
      <w:bookmarkStart w:id="1" w:name="page2"/>
      <w:bookmarkEnd w:id="1"/>
      <w:r>
        <w:rPr>
          <w:rFonts w:ascii="Arial" w:eastAsia="Arial" w:hAnsi="Arial" w:cs="Arial"/>
          <w:sz w:val="20"/>
          <w:szCs w:val="20"/>
        </w:rPr>
        <w:lastRenderedPageBreak/>
        <w:t>Alonso Ramírez Cover</w:t>
      </w:r>
    </w:p>
    <w:p w14:paraId="35B418D1" w14:textId="77777777" w:rsidR="002406A5" w:rsidRDefault="002406A5">
      <w:pPr>
        <w:spacing w:line="200" w:lineRule="exact"/>
        <w:rPr>
          <w:sz w:val="20"/>
          <w:szCs w:val="20"/>
        </w:rPr>
      </w:pPr>
    </w:p>
    <w:p w14:paraId="35B418D2" w14:textId="77777777" w:rsidR="002406A5" w:rsidRDefault="002406A5">
      <w:pPr>
        <w:spacing w:line="321" w:lineRule="exact"/>
        <w:rPr>
          <w:sz w:val="20"/>
          <w:szCs w:val="20"/>
        </w:rPr>
      </w:pPr>
    </w:p>
    <w:p w14:paraId="35B418D3" w14:textId="77777777" w:rsidR="002406A5" w:rsidRDefault="00577576">
      <w:pPr>
        <w:spacing w:line="284" w:lineRule="auto"/>
        <w:ind w:left="820" w:right="1620" w:firstLine="60"/>
        <w:jc w:val="both"/>
        <w:rPr>
          <w:sz w:val="20"/>
          <w:szCs w:val="20"/>
        </w:rPr>
      </w:pPr>
      <w:r>
        <w:rPr>
          <w:rFonts w:eastAsia="Times New Roman"/>
          <w:sz w:val="24"/>
          <w:szCs w:val="24"/>
        </w:rPr>
        <w:t>regular la interacción entre seres humanos y naturaleza, bajo los términos de un entendimiento capitalista del cambio climático.</w:t>
      </w:r>
    </w:p>
    <w:p w14:paraId="35B418D4" w14:textId="77777777" w:rsidR="002406A5" w:rsidRDefault="002406A5">
      <w:pPr>
        <w:spacing w:line="19" w:lineRule="exact"/>
        <w:rPr>
          <w:sz w:val="20"/>
          <w:szCs w:val="20"/>
        </w:rPr>
      </w:pPr>
    </w:p>
    <w:p w14:paraId="35B418D5" w14:textId="77777777" w:rsidR="002406A5" w:rsidRDefault="00577576">
      <w:pPr>
        <w:spacing w:line="253" w:lineRule="auto"/>
        <w:ind w:left="820" w:right="1620"/>
        <w:jc w:val="both"/>
        <w:rPr>
          <w:sz w:val="20"/>
          <w:szCs w:val="20"/>
        </w:rPr>
      </w:pPr>
      <w:r>
        <w:rPr>
          <w:rFonts w:eastAsia="Times New Roman"/>
          <w:sz w:val="23"/>
          <w:szCs w:val="23"/>
        </w:rPr>
        <w:t xml:space="preserve">En su introducción, los editores Foyer, Aykut y </w:t>
      </w:r>
      <w:r>
        <w:rPr>
          <w:rFonts w:eastAsia="Times New Roman"/>
          <w:sz w:val="23"/>
          <w:szCs w:val="23"/>
        </w:rPr>
        <w:t>Morena describen la constitución del régimen climático como un proceso dual compuesto de la ‘globalización del problema climático’ y la ‘climatización del mundo’ El primer lado de este proceso tiene que ver con cómo las COP amplían la jurisdicción del régi</w:t>
      </w:r>
      <w:r>
        <w:rPr>
          <w:rFonts w:eastAsia="Times New Roman"/>
          <w:sz w:val="23"/>
          <w:szCs w:val="23"/>
        </w:rPr>
        <w:t>men climático, incluyendo dentro suyo nuevos asuntos y actores. La otra cara de la moneda es la ‘climatización del mundo’ entendida como el proceso mediante el cual estos asuntos son redefinidos exclusivamente desde las lógicas dominantes en que se discute</w:t>
      </w:r>
      <w:r>
        <w:rPr>
          <w:rFonts w:eastAsia="Times New Roman"/>
          <w:sz w:val="23"/>
          <w:szCs w:val="23"/>
        </w:rPr>
        <w:t xml:space="preserve"> el cambio climático. Un ejemplo particularmente relevante de este proceso se expone en el capítulo de Jean Foyer y David Dumoulin que discute cómo las COP han servido para estandarizar y “hacer legibles” algunos principios sobre los conocimientos indígena</w:t>
      </w:r>
      <w:r>
        <w:rPr>
          <w:rFonts w:eastAsia="Times New Roman"/>
          <w:sz w:val="23"/>
          <w:szCs w:val="23"/>
        </w:rPr>
        <w:t>s tradicionales, pero a costas de remover las implicaciones más radicales del reconocimiento de estos derechos. Otro ejemplo igualmente importante es la manera en que la atención del cambio climática privilegia “soluciones” de mercado, obscureciendo las de</w:t>
      </w:r>
      <w:r>
        <w:rPr>
          <w:rFonts w:eastAsia="Times New Roman"/>
          <w:sz w:val="23"/>
          <w:szCs w:val="23"/>
        </w:rPr>
        <w:t>sigualdades socioambientales que genera. Viard-Crétat y Buffet, en este volumen, explican esto señalando cómo que acciones para la promoción de plantaciones forestales, facilitan la producción de biomasa que mitiga el cambio climático, a costas de la pérdi</w:t>
      </w:r>
      <w:r>
        <w:rPr>
          <w:rFonts w:eastAsia="Times New Roman"/>
          <w:sz w:val="23"/>
          <w:szCs w:val="23"/>
        </w:rPr>
        <w:t>da de biodiversidad, el desgaste de recursos hídricos y los desplazamientos forzados de poblaciones locales.</w:t>
      </w:r>
    </w:p>
    <w:p w14:paraId="35B418D6" w14:textId="77777777" w:rsidR="002406A5" w:rsidRDefault="002406A5">
      <w:pPr>
        <w:spacing w:line="69" w:lineRule="exact"/>
        <w:rPr>
          <w:sz w:val="20"/>
          <w:szCs w:val="20"/>
        </w:rPr>
      </w:pPr>
    </w:p>
    <w:p w14:paraId="35B418D7" w14:textId="77777777" w:rsidR="002406A5" w:rsidRDefault="00577576">
      <w:pPr>
        <w:spacing w:line="256" w:lineRule="auto"/>
        <w:ind w:left="820" w:right="1620"/>
        <w:jc w:val="both"/>
        <w:rPr>
          <w:sz w:val="20"/>
          <w:szCs w:val="20"/>
        </w:rPr>
      </w:pPr>
      <w:r>
        <w:rPr>
          <w:rFonts w:eastAsia="Times New Roman"/>
          <w:sz w:val="23"/>
          <w:szCs w:val="23"/>
        </w:rPr>
        <w:t>COP21 fue crucial para este proceso dual. Entendida en el libro como una “máquina climatizante”, la Conferencia de París amplio la jurisdicción de</w:t>
      </w:r>
      <w:r>
        <w:rPr>
          <w:rFonts w:eastAsia="Times New Roman"/>
          <w:sz w:val="23"/>
          <w:szCs w:val="23"/>
        </w:rPr>
        <w:t>l régimen climático sobre una gran cantidad de nuevos temas (e.g.: seguridad, agricultura, regulación financiera, etc.). Pero también, la COP21 es el momento culminante de la transición de una gobernanza basada en comando y control (e.g.: metas obligatoria</w:t>
      </w:r>
      <w:r>
        <w:rPr>
          <w:rFonts w:eastAsia="Times New Roman"/>
          <w:sz w:val="23"/>
          <w:szCs w:val="23"/>
        </w:rPr>
        <w:t>s de reducción de emisiones a escala nacional bajo supervisión de los estados) a una acción climática voluntaria y desde el mercado (e.g.: iniciativas corporativas y empresa privada). En los párrafos siguientes enmarco las diferentes contribuciones del lib</w:t>
      </w:r>
      <w:r>
        <w:rPr>
          <w:rFonts w:eastAsia="Times New Roman"/>
          <w:sz w:val="23"/>
          <w:szCs w:val="23"/>
        </w:rPr>
        <w:t>ro en torno a este cambio fundamental.</w:t>
      </w:r>
    </w:p>
    <w:p w14:paraId="35B418D8" w14:textId="77777777" w:rsidR="002406A5" w:rsidRDefault="002406A5">
      <w:pPr>
        <w:spacing w:line="63" w:lineRule="exact"/>
        <w:rPr>
          <w:sz w:val="20"/>
          <w:szCs w:val="20"/>
        </w:rPr>
      </w:pPr>
    </w:p>
    <w:p w14:paraId="35B418D9" w14:textId="77777777" w:rsidR="002406A5" w:rsidRDefault="00577576">
      <w:pPr>
        <w:spacing w:line="244" w:lineRule="auto"/>
        <w:ind w:left="820" w:right="1620"/>
        <w:jc w:val="both"/>
        <w:rPr>
          <w:sz w:val="20"/>
          <w:szCs w:val="20"/>
        </w:rPr>
      </w:pPr>
      <w:r>
        <w:rPr>
          <w:rFonts w:eastAsia="Times New Roman"/>
          <w:sz w:val="24"/>
          <w:szCs w:val="24"/>
        </w:rPr>
        <w:t xml:space="preserve">Los capítulos escritos por Stefan Aykut y Monica Castro estudian cómo se incluyen o no temas y tópicos en las instituciones formales del cambio climático. En el caso de Aykut, se ofrece una revisión </w:t>
      </w:r>
      <w:r>
        <w:rPr>
          <w:rFonts w:eastAsia="Times New Roman"/>
          <w:sz w:val="24"/>
          <w:szCs w:val="24"/>
        </w:rPr>
        <w:t>sumamente detallada de las prácticas performativas que toman lugar a la hora de diseñar el texto jurídico de los acuerdos climáticos, determinando las dimensiones cognitivas para entender qué es el cambio climático y cómo debe abordarse políticamente. Ayku</w:t>
      </w:r>
      <w:r>
        <w:rPr>
          <w:rFonts w:eastAsia="Times New Roman"/>
          <w:sz w:val="24"/>
          <w:szCs w:val="24"/>
        </w:rPr>
        <w:t>t y Castro, en otro capítulo, analizan estas dinámicas relativo a la paradoja de la no inclusión del tema de generación de energía dentro de las negociaciones, a pesar de ser uno de los orígenes mejor reconocidos del cambio climático. En gran medida, la id</w:t>
      </w:r>
      <w:r>
        <w:rPr>
          <w:rFonts w:eastAsia="Times New Roman"/>
          <w:sz w:val="24"/>
          <w:szCs w:val="24"/>
        </w:rPr>
        <w:t>ea que une estos trabajos es conocer cómo es que el cambio climático es convertido en una institución política global.</w:t>
      </w:r>
    </w:p>
    <w:p w14:paraId="35B418DA" w14:textId="77777777" w:rsidR="002406A5" w:rsidRDefault="002406A5">
      <w:pPr>
        <w:spacing w:line="67" w:lineRule="exact"/>
        <w:rPr>
          <w:sz w:val="20"/>
          <w:szCs w:val="20"/>
        </w:rPr>
      </w:pPr>
    </w:p>
    <w:p w14:paraId="35B418DB" w14:textId="77777777" w:rsidR="002406A5" w:rsidRDefault="00577576">
      <w:pPr>
        <w:spacing w:line="275" w:lineRule="auto"/>
        <w:ind w:left="820" w:right="1620"/>
        <w:jc w:val="both"/>
        <w:rPr>
          <w:sz w:val="20"/>
          <w:szCs w:val="20"/>
        </w:rPr>
      </w:pPr>
      <w:r>
        <w:rPr>
          <w:rFonts w:eastAsia="Times New Roman"/>
          <w:sz w:val="23"/>
          <w:szCs w:val="23"/>
        </w:rPr>
        <w:t>Los demás trabajos del libro describen las dimensiones más estratégicas de la climatización, valorando las prácticas y discursos de dife</w:t>
      </w:r>
      <w:r>
        <w:rPr>
          <w:rFonts w:eastAsia="Times New Roman"/>
          <w:sz w:val="23"/>
          <w:szCs w:val="23"/>
        </w:rPr>
        <w:t>rentes actores políticos en la COP21, en perspectiva histórica. Benabou, Moussu y Müller exploran cómo</w:t>
      </w:r>
    </w:p>
    <w:p w14:paraId="35B418DC" w14:textId="77777777" w:rsidR="002406A5" w:rsidRDefault="002406A5">
      <w:pPr>
        <w:spacing w:line="200" w:lineRule="exact"/>
        <w:rPr>
          <w:sz w:val="20"/>
          <w:szCs w:val="20"/>
        </w:rPr>
      </w:pPr>
    </w:p>
    <w:p w14:paraId="35B418DD" w14:textId="77777777" w:rsidR="002406A5" w:rsidRDefault="002406A5">
      <w:pPr>
        <w:spacing w:line="266" w:lineRule="exact"/>
        <w:rPr>
          <w:sz w:val="20"/>
          <w:szCs w:val="20"/>
        </w:rPr>
      </w:pPr>
    </w:p>
    <w:tbl>
      <w:tblPr>
        <w:tblW w:w="0" w:type="auto"/>
        <w:tblInd w:w="1720" w:type="dxa"/>
        <w:tblLayout w:type="fixed"/>
        <w:tblCellMar>
          <w:left w:w="0" w:type="dxa"/>
          <w:right w:w="0" w:type="dxa"/>
        </w:tblCellMar>
        <w:tblLook w:val="04A0" w:firstRow="1" w:lastRow="0" w:firstColumn="1" w:lastColumn="0" w:noHBand="0" w:noVBand="1"/>
      </w:tblPr>
      <w:tblGrid>
        <w:gridCol w:w="6940"/>
        <w:gridCol w:w="1480"/>
        <w:gridCol w:w="20"/>
      </w:tblGrid>
      <w:tr w:rsidR="002406A5" w14:paraId="35B418E1" w14:textId="77777777">
        <w:trPr>
          <w:trHeight w:val="240"/>
        </w:trPr>
        <w:tc>
          <w:tcPr>
            <w:tcW w:w="6940" w:type="dxa"/>
            <w:vAlign w:val="bottom"/>
          </w:tcPr>
          <w:p w14:paraId="35B418DE" w14:textId="77777777" w:rsidR="002406A5" w:rsidRDefault="00577576">
            <w:pPr>
              <w:ind w:right="979"/>
              <w:jc w:val="center"/>
              <w:rPr>
                <w:sz w:val="20"/>
                <w:szCs w:val="20"/>
              </w:rPr>
            </w:pPr>
            <w:r>
              <w:rPr>
                <w:rFonts w:ascii="Arial" w:eastAsia="Arial" w:hAnsi="Arial" w:cs="Arial"/>
                <w:w w:val="97"/>
                <w:sz w:val="20"/>
                <w:szCs w:val="20"/>
              </w:rPr>
              <w:t>Anuario del Centro de Investigación y Estudios Políticos</w:t>
            </w:r>
          </w:p>
        </w:tc>
        <w:tc>
          <w:tcPr>
            <w:tcW w:w="1480" w:type="dxa"/>
            <w:vMerge w:val="restart"/>
            <w:vAlign w:val="bottom"/>
          </w:tcPr>
          <w:p w14:paraId="35B418DF" w14:textId="77777777" w:rsidR="002406A5" w:rsidRDefault="00577576">
            <w:pPr>
              <w:jc w:val="right"/>
              <w:rPr>
                <w:sz w:val="20"/>
                <w:szCs w:val="20"/>
              </w:rPr>
            </w:pPr>
            <w:r>
              <w:rPr>
                <w:rFonts w:ascii="Arial" w:eastAsia="Arial" w:hAnsi="Arial" w:cs="Arial"/>
              </w:rPr>
              <w:t>146</w:t>
            </w:r>
          </w:p>
        </w:tc>
        <w:tc>
          <w:tcPr>
            <w:tcW w:w="0" w:type="dxa"/>
            <w:vAlign w:val="bottom"/>
          </w:tcPr>
          <w:p w14:paraId="35B418E0" w14:textId="77777777" w:rsidR="002406A5" w:rsidRDefault="002406A5">
            <w:pPr>
              <w:rPr>
                <w:sz w:val="1"/>
                <w:szCs w:val="1"/>
              </w:rPr>
            </w:pPr>
          </w:p>
        </w:tc>
      </w:tr>
      <w:tr w:rsidR="002406A5" w14:paraId="35B418E5" w14:textId="77777777">
        <w:trPr>
          <w:trHeight w:val="265"/>
        </w:trPr>
        <w:tc>
          <w:tcPr>
            <w:tcW w:w="6940" w:type="dxa"/>
            <w:vAlign w:val="bottom"/>
          </w:tcPr>
          <w:p w14:paraId="35B418E2" w14:textId="77777777" w:rsidR="002406A5" w:rsidRDefault="00577576">
            <w:pPr>
              <w:ind w:right="979"/>
              <w:jc w:val="center"/>
              <w:rPr>
                <w:sz w:val="20"/>
                <w:szCs w:val="20"/>
              </w:rPr>
            </w:pPr>
            <w:r>
              <w:rPr>
                <w:rFonts w:ascii="Arial" w:eastAsia="Arial" w:hAnsi="Arial" w:cs="Arial"/>
                <w:sz w:val="20"/>
                <w:szCs w:val="20"/>
              </w:rPr>
              <w:t>Universidad de Costa Rica, 10: 145-147, 2019 ISSN: 2215-2873</w:t>
            </w:r>
          </w:p>
        </w:tc>
        <w:tc>
          <w:tcPr>
            <w:tcW w:w="1480" w:type="dxa"/>
            <w:vMerge/>
            <w:vAlign w:val="bottom"/>
          </w:tcPr>
          <w:p w14:paraId="35B418E3" w14:textId="77777777" w:rsidR="002406A5" w:rsidRDefault="002406A5">
            <w:pPr>
              <w:rPr>
                <w:sz w:val="23"/>
                <w:szCs w:val="23"/>
              </w:rPr>
            </w:pPr>
          </w:p>
        </w:tc>
        <w:tc>
          <w:tcPr>
            <w:tcW w:w="0" w:type="dxa"/>
            <w:vAlign w:val="bottom"/>
          </w:tcPr>
          <w:p w14:paraId="35B418E4" w14:textId="77777777" w:rsidR="002406A5" w:rsidRDefault="002406A5">
            <w:pPr>
              <w:rPr>
                <w:sz w:val="1"/>
                <w:szCs w:val="1"/>
              </w:rPr>
            </w:pPr>
          </w:p>
        </w:tc>
      </w:tr>
    </w:tbl>
    <w:p w14:paraId="35B418E6" w14:textId="77777777" w:rsidR="002406A5" w:rsidRDefault="002406A5">
      <w:pPr>
        <w:sectPr w:rsidR="002406A5">
          <w:pgSz w:w="12240" w:h="15840"/>
          <w:pgMar w:top="724" w:right="660" w:bottom="126" w:left="1440" w:header="0" w:footer="0" w:gutter="0"/>
          <w:cols w:space="720" w:equalWidth="0">
            <w:col w:w="10140"/>
          </w:cols>
        </w:sectPr>
      </w:pPr>
    </w:p>
    <w:p w14:paraId="35B418E7" w14:textId="77777777" w:rsidR="002406A5" w:rsidRPr="000A3B71" w:rsidRDefault="00577576">
      <w:pPr>
        <w:ind w:left="1560"/>
        <w:rPr>
          <w:sz w:val="20"/>
          <w:szCs w:val="20"/>
          <w:lang w:val="en-US"/>
        </w:rPr>
      </w:pPr>
      <w:bookmarkStart w:id="2" w:name="page3"/>
      <w:bookmarkEnd w:id="2"/>
      <w:r w:rsidRPr="000A3B71">
        <w:rPr>
          <w:rFonts w:ascii="Arial" w:eastAsia="Arial" w:hAnsi="Arial" w:cs="Arial"/>
          <w:sz w:val="20"/>
          <w:szCs w:val="20"/>
          <w:lang w:val="en-US"/>
        </w:rPr>
        <w:lastRenderedPageBreak/>
        <w:t>Globalising the climate. COP21 and the climatization of global debates</w:t>
      </w:r>
    </w:p>
    <w:p w14:paraId="35B418E8" w14:textId="77777777" w:rsidR="002406A5" w:rsidRPr="000A3B71" w:rsidRDefault="002406A5">
      <w:pPr>
        <w:spacing w:line="200" w:lineRule="exact"/>
        <w:rPr>
          <w:sz w:val="20"/>
          <w:szCs w:val="20"/>
          <w:lang w:val="en-US"/>
        </w:rPr>
      </w:pPr>
    </w:p>
    <w:p w14:paraId="35B418E9" w14:textId="77777777" w:rsidR="002406A5" w:rsidRPr="000A3B71" w:rsidRDefault="002406A5">
      <w:pPr>
        <w:spacing w:line="321" w:lineRule="exact"/>
        <w:rPr>
          <w:sz w:val="20"/>
          <w:szCs w:val="20"/>
          <w:lang w:val="en-US"/>
        </w:rPr>
      </w:pPr>
    </w:p>
    <w:p w14:paraId="35B418EA" w14:textId="77777777" w:rsidR="002406A5" w:rsidRDefault="00577576">
      <w:pPr>
        <w:spacing w:line="255" w:lineRule="auto"/>
        <w:ind w:left="820" w:right="1800"/>
        <w:jc w:val="both"/>
        <w:rPr>
          <w:sz w:val="20"/>
          <w:szCs w:val="20"/>
        </w:rPr>
      </w:pPr>
      <w:r>
        <w:rPr>
          <w:rFonts w:eastAsia="Times New Roman"/>
          <w:sz w:val="23"/>
          <w:szCs w:val="23"/>
        </w:rPr>
        <w:t>la empresa privada proyectó una voz unificada y, en apariencia, “progresiva”, en el marco de la COP21. El artículo describe la manera en que estos grupos anticiparon críticas de otros</w:t>
      </w:r>
      <w:r>
        <w:rPr>
          <w:rFonts w:eastAsia="Times New Roman"/>
          <w:sz w:val="23"/>
          <w:szCs w:val="23"/>
        </w:rPr>
        <w:t xml:space="preserve"> actores, moldeándose como un actor proactivo, que, por lo tanto, no requiere ser objeto de regulación. Combry, Morena y de Joost analizan el dilema de los movimientos sociales sobre cómo situarse relativo a la conferencia, ya sea como actores “dentro” de </w:t>
      </w:r>
      <w:r>
        <w:rPr>
          <w:rFonts w:eastAsia="Times New Roman"/>
          <w:sz w:val="23"/>
          <w:szCs w:val="23"/>
        </w:rPr>
        <w:t>la COP o activismo “desde fuera”. Por otro lado, Guillemot describe la forma en que la meta actual de evitar aumentos en la temperatura global arriba de 1,5° C surge no como una necesidad científica, sino que una declaración política. Reflexionando sobre e</w:t>
      </w:r>
      <w:r>
        <w:rPr>
          <w:rFonts w:eastAsia="Times New Roman"/>
          <w:sz w:val="23"/>
          <w:szCs w:val="23"/>
        </w:rPr>
        <w:t>l origen de esta meta, se explica la difícil adaptación de las comunidades científicas en torno a las agendas y demandas de la “política” del cambio climático.</w:t>
      </w:r>
    </w:p>
    <w:p w14:paraId="35B418EB" w14:textId="77777777" w:rsidR="002406A5" w:rsidRDefault="002406A5">
      <w:pPr>
        <w:spacing w:line="67" w:lineRule="exact"/>
        <w:rPr>
          <w:sz w:val="20"/>
          <w:szCs w:val="20"/>
        </w:rPr>
      </w:pPr>
    </w:p>
    <w:p w14:paraId="35B418EC" w14:textId="77777777" w:rsidR="002406A5" w:rsidRDefault="00577576">
      <w:pPr>
        <w:spacing w:line="255" w:lineRule="auto"/>
        <w:ind w:left="820" w:right="1800"/>
        <w:jc w:val="both"/>
        <w:rPr>
          <w:sz w:val="20"/>
          <w:szCs w:val="20"/>
        </w:rPr>
      </w:pPr>
      <w:r>
        <w:rPr>
          <w:rFonts w:eastAsia="Times New Roman"/>
          <w:sz w:val="23"/>
          <w:szCs w:val="23"/>
        </w:rPr>
        <w:t>Morena, en otro capítulo, también ofrece un análisis bastante completo de la climatización refi</w:t>
      </w:r>
      <w:r>
        <w:rPr>
          <w:rFonts w:eastAsia="Times New Roman"/>
          <w:sz w:val="23"/>
          <w:szCs w:val="23"/>
        </w:rPr>
        <w:t xml:space="preserve">riéndose a cómo filántropos liberales han jugado un rol clave – pero discreto – en la formulación final de los acuerdos de la conferencia. Su capítulo ofrece un vistazo al rol histórico que la filantropía ha jugado en la organización del régimen climático </w:t>
      </w:r>
      <w:r>
        <w:rPr>
          <w:rFonts w:eastAsia="Times New Roman"/>
          <w:sz w:val="23"/>
          <w:szCs w:val="23"/>
        </w:rPr>
        <w:t>global, determinando su abordaje basado en enfoques reformistas dentro de la economía neoliberal y evitando acciones más radicales. Finalmente, enfocándose en dos mecanismos creados y moldeados por las COP – la estrategia REDD+ para evitar emisiones de dió</w:t>
      </w:r>
      <w:r>
        <w:rPr>
          <w:rFonts w:eastAsia="Times New Roman"/>
          <w:sz w:val="23"/>
          <w:szCs w:val="23"/>
        </w:rPr>
        <w:t>xido de carbono producto de deforestación y degradación forestal – Viard-Crétat y Buffet demuestran cómo el cambio climático también ha sido usado para ponerle un nuevo nombre a viejas y vetustas prácticas de cooperación para el desarrollo.</w:t>
      </w:r>
    </w:p>
    <w:p w14:paraId="35B418ED" w14:textId="77777777" w:rsidR="002406A5" w:rsidRDefault="002406A5">
      <w:pPr>
        <w:spacing w:line="63" w:lineRule="exact"/>
        <w:rPr>
          <w:sz w:val="20"/>
          <w:szCs w:val="20"/>
        </w:rPr>
      </w:pPr>
    </w:p>
    <w:p w14:paraId="35B418EE" w14:textId="77777777" w:rsidR="002406A5" w:rsidRDefault="00577576">
      <w:pPr>
        <w:spacing w:line="244" w:lineRule="auto"/>
        <w:ind w:left="820" w:right="1800"/>
        <w:jc w:val="both"/>
        <w:rPr>
          <w:sz w:val="20"/>
          <w:szCs w:val="20"/>
        </w:rPr>
      </w:pPr>
      <w:r>
        <w:rPr>
          <w:rFonts w:eastAsia="Times New Roman"/>
          <w:i/>
          <w:iCs/>
          <w:sz w:val="24"/>
          <w:szCs w:val="24"/>
        </w:rPr>
        <w:t>Globalising th</w:t>
      </w:r>
      <w:r>
        <w:rPr>
          <w:rFonts w:eastAsia="Times New Roman"/>
          <w:i/>
          <w:iCs/>
          <w:sz w:val="24"/>
          <w:szCs w:val="24"/>
        </w:rPr>
        <w:t xml:space="preserve">e climate </w:t>
      </w:r>
      <w:r>
        <w:rPr>
          <w:rFonts w:eastAsia="Times New Roman"/>
          <w:sz w:val="24"/>
          <w:szCs w:val="24"/>
        </w:rPr>
        <w:t>constituye un volumen bastante meritorio y de gran</w:t>
      </w:r>
      <w:r>
        <w:rPr>
          <w:rFonts w:eastAsia="Times New Roman"/>
          <w:i/>
          <w:iCs/>
          <w:sz w:val="24"/>
          <w:szCs w:val="24"/>
        </w:rPr>
        <w:t xml:space="preserve"> </w:t>
      </w:r>
      <w:r>
        <w:rPr>
          <w:rFonts w:eastAsia="Times New Roman"/>
          <w:sz w:val="24"/>
          <w:szCs w:val="24"/>
        </w:rPr>
        <w:t>utilidad, tanto para expertos como para su uso como material didáctico en las aulas, aunque debe decirse que algunos capítulos quizás resulten ser difíciles de leer producto del complejo lenguaje</w:t>
      </w:r>
      <w:r>
        <w:rPr>
          <w:rFonts w:eastAsia="Times New Roman"/>
          <w:sz w:val="24"/>
          <w:szCs w:val="24"/>
        </w:rPr>
        <w:t xml:space="preserve"> técnico que acompaña la gobernanza sobre cambio climático. En general, se ofrecen contribuciones que son bienvenidas en un momento en que el estudio crítico del cambio climático se encuentra fuertemente criticado por su débil abordaje de la multivocalidad</w:t>
      </w:r>
      <w:r>
        <w:rPr>
          <w:rFonts w:eastAsia="Times New Roman"/>
          <w:sz w:val="24"/>
          <w:szCs w:val="24"/>
        </w:rPr>
        <w:t xml:space="preserve"> en la construcción de resultados. En efecto, el libro aborda efectivamente algunas de las limitaciones de este enfoque: (1) presentando la riqueza de las relaciones entre actores de forma compleja e intricada, y (2) trascendiendo un enfoque monolítico que</w:t>
      </w:r>
      <w:r>
        <w:rPr>
          <w:rFonts w:eastAsia="Times New Roman"/>
          <w:sz w:val="24"/>
          <w:szCs w:val="24"/>
        </w:rPr>
        <w:t xml:space="preserve"> termina reduciendo a ciertos actores como buenos o malos.</w:t>
      </w:r>
    </w:p>
    <w:p w14:paraId="35B418EF" w14:textId="77777777" w:rsidR="002406A5" w:rsidRDefault="002406A5">
      <w:pPr>
        <w:spacing w:line="67" w:lineRule="exact"/>
        <w:rPr>
          <w:sz w:val="20"/>
          <w:szCs w:val="20"/>
        </w:rPr>
      </w:pPr>
    </w:p>
    <w:p w14:paraId="35B418F0" w14:textId="77777777" w:rsidR="002406A5" w:rsidRDefault="00577576">
      <w:pPr>
        <w:spacing w:line="247" w:lineRule="auto"/>
        <w:ind w:left="820" w:right="1800"/>
        <w:jc w:val="both"/>
        <w:rPr>
          <w:sz w:val="20"/>
          <w:szCs w:val="20"/>
        </w:rPr>
      </w:pPr>
      <w:r>
        <w:rPr>
          <w:rFonts w:eastAsia="Times New Roman"/>
          <w:sz w:val="24"/>
          <w:szCs w:val="24"/>
        </w:rPr>
        <w:t xml:space="preserve">Al contrario, se ofrece un caleidoscopio de perspectivas que informan el proceso de negociación sobre el cambio climático. En general, encuentro que </w:t>
      </w:r>
      <w:r>
        <w:rPr>
          <w:rFonts w:eastAsia="Times New Roman"/>
          <w:i/>
          <w:iCs/>
          <w:sz w:val="24"/>
          <w:szCs w:val="24"/>
        </w:rPr>
        <w:t>Globalising</w:t>
      </w:r>
      <w:r>
        <w:rPr>
          <w:rFonts w:eastAsia="Times New Roman"/>
          <w:sz w:val="24"/>
          <w:szCs w:val="24"/>
        </w:rPr>
        <w:t xml:space="preserve"> </w:t>
      </w:r>
      <w:r>
        <w:rPr>
          <w:rFonts w:eastAsia="Times New Roman"/>
          <w:i/>
          <w:iCs/>
          <w:sz w:val="24"/>
          <w:szCs w:val="24"/>
        </w:rPr>
        <w:t xml:space="preserve">the climate </w:t>
      </w:r>
      <w:r>
        <w:rPr>
          <w:rFonts w:eastAsia="Times New Roman"/>
          <w:sz w:val="24"/>
          <w:szCs w:val="24"/>
        </w:rPr>
        <w:t>es un libro de enorme u</w:t>
      </w:r>
      <w:r>
        <w:rPr>
          <w:rFonts w:eastAsia="Times New Roman"/>
          <w:sz w:val="24"/>
          <w:szCs w:val="24"/>
        </w:rPr>
        <w:t>tilidad para lectores que buscan profundizar</w:t>
      </w:r>
      <w:r>
        <w:rPr>
          <w:rFonts w:eastAsia="Times New Roman"/>
          <w:i/>
          <w:iCs/>
          <w:sz w:val="24"/>
          <w:szCs w:val="24"/>
        </w:rPr>
        <w:t xml:space="preserve"> </w:t>
      </w:r>
      <w:r>
        <w:rPr>
          <w:rFonts w:eastAsia="Times New Roman"/>
          <w:sz w:val="24"/>
          <w:szCs w:val="24"/>
        </w:rPr>
        <w:t xml:space="preserve">su conocimiento de la forma en que se estudia, discute, define y gobierna el cambio climático, y aunque ya tiene tiempo desde que fue publicado (2017), sus conclusiones siguen siendo importantes para el estudio </w:t>
      </w:r>
      <w:r>
        <w:rPr>
          <w:rFonts w:eastAsia="Times New Roman"/>
          <w:sz w:val="24"/>
          <w:szCs w:val="24"/>
        </w:rPr>
        <w:t>de la gobernanza climática hoy.</w:t>
      </w:r>
    </w:p>
    <w:p w14:paraId="35B418F1" w14:textId="77777777" w:rsidR="002406A5" w:rsidRDefault="002406A5">
      <w:pPr>
        <w:spacing w:line="62" w:lineRule="exact"/>
        <w:rPr>
          <w:sz w:val="20"/>
          <w:szCs w:val="20"/>
        </w:rPr>
      </w:pPr>
    </w:p>
    <w:p w14:paraId="35B418F2" w14:textId="77777777" w:rsidR="002406A5" w:rsidRDefault="00577576">
      <w:pPr>
        <w:ind w:right="1800"/>
        <w:jc w:val="right"/>
        <w:rPr>
          <w:sz w:val="20"/>
          <w:szCs w:val="20"/>
        </w:rPr>
      </w:pPr>
      <w:r>
        <w:rPr>
          <w:rFonts w:eastAsia="Times New Roman"/>
          <w:b/>
          <w:bCs/>
          <w:sz w:val="24"/>
          <w:szCs w:val="24"/>
        </w:rPr>
        <w:t>Alonso Ramírez Cover</w:t>
      </w:r>
    </w:p>
    <w:p w14:paraId="35B418F3" w14:textId="77777777" w:rsidR="002406A5" w:rsidRDefault="002406A5">
      <w:pPr>
        <w:spacing w:line="36" w:lineRule="exact"/>
        <w:rPr>
          <w:sz w:val="20"/>
          <w:szCs w:val="20"/>
        </w:rPr>
      </w:pPr>
    </w:p>
    <w:p w14:paraId="35B418F4" w14:textId="77777777" w:rsidR="002406A5" w:rsidRDefault="00577576">
      <w:pPr>
        <w:ind w:right="1800"/>
        <w:jc w:val="right"/>
        <w:rPr>
          <w:sz w:val="20"/>
          <w:szCs w:val="20"/>
        </w:rPr>
      </w:pPr>
      <w:r>
        <w:rPr>
          <w:rFonts w:eastAsia="Times New Roman"/>
          <w:sz w:val="24"/>
          <w:szCs w:val="24"/>
        </w:rPr>
        <w:t>alonso.ramirezcover@ucr.ac.cr</w:t>
      </w:r>
    </w:p>
    <w:p w14:paraId="35B418F5" w14:textId="77777777" w:rsidR="002406A5" w:rsidRDefault="00577576">
      <w:pPr>
        <w:ind w:right="1800"/>
        <w:jc w:val="right"/>
        <w:rPr>
          <w:sz w:val="20"/>
          <w:szCs w:val="20"/>
        </w:rPr>
      </w:pPr>
      <w:r>
        <w:rPr>
          <w:rFonts w:eastAsia="Times New Roman"/>
          <w:sz w:val="24"/>
          <w:szCs w:val="24"/>
        </w:rPr>
        <w:t>Costarricense, Doctor en Estudios del Desarrollo.</w:t>
      </w:r>
    </w:p>
    <w:p w14:paraId="35B418F6" w14:textId="77777777" w:rsidR="002406A5" w:rsidRDefault="00577576">
      <w:pPr>
        <w:ind w:left="1580"/>
        <w:rPr>
          <w:sz w:val="20"/>
          <w:szCs w:val="20"/>
        </w:rPr>
      </w:pPr>
      <w:r>
        <w:rPr>
          <w:rFonts w:eastAsia="Times New Roman"/>
          <w:sz w:val="24"/>
          <w:szCs w:val="24"/>
        </w:rPr>
        <w:t>Profesor de la Escuela de Ciencias Políticas, Universidad de Costa Rica.</w:t>
      </w:r>
    </w:p>
    <w:p w14:paraId="35B418F7" w14:textId="77777777" w:rsidR="002406A5" w:rsidRDefault="002406A5">
      <w:pPr>
        <w:spacing w:line="200" w:lineRule="exact"/>
        <w:rPr>
          <w:sz w:val="20"/>
          <w:szCs w:val="20"/>
        </w:rPr>
      </w:pPr>
    </w:p>
    <w:p w14:paraId="35B418F8" w14:textId="77777777" w:rsidR="002406A5" w:rsidRDefault="002406A5">
      <w:pPr>
        <w:spacing w:line="301" w:lineRule="exact"/>
        <w:rPr>
          <w:sz w:val="20"/>
          <w:szCs w:val="20"/>
        </w:rPr>
      </w:pPr>
    </w:p>
    <w:p w14:paraId="35B418F9" w14:textId="77777777" w:rsidR="002406A5" w:rsidRDefault="00577576">
      <w:pPr>
        <w:ind w:left="2280"/>
        <w:rPr>
          <w:sz w:val="20"/>
          <w:szCs w:val="20"/>
        </w:rPr>
      </w:pPr>
      <w:r>
        <w:rPr>
          <w:rFonts w:ascii="Arial" w:eastAsia="Arial" w:hAnsi="Arial" w:cs="Arial"/>
          <w:sz w:val="20"/>
          <w:szCs w:val="20"/>
        </w:rPr>
        <w:t xml:space="preserve">Anuario del Centro de </w:t>
      </w:r>
      <w:r>
        <w:rPr>
          <w:rFonts w:ascii="Arial" w:eastAsia="Arial" w:hAnsi="Arial" w:cs="Arial"/>
          <w:sz w:val="20"/>
          <w:szCs w:val="20"/>
        </w:rPr>
        <w:t>Investigación y Estudios Políticos</w:t>
      </w:r>
    </w:p>
    <w:tbl>
      <w:tblPr>
        <w:tblW w:w="0" w:type="auto"/>
        <w:tblInd w:w="1760" w:type="dxa"/>
        <w:tblLayout w:type="fixed"/>
        <w:tblCellMar>
          <w:left w:w="0" w:type="dxa"/>
          <w:right w:w="0" w:type="dxa"/>
        </w:tblCellMar>
        <w:tblLook w:val="04A0" w:firstRow="1" w:lastRow="0" w:firstColumn="1" w:lastColumn="0" w:noHBand="0" w:noVBand="1"/>
      </w:tblPr>
      <w:tblGrid>
        <w:gridCol w:w="7020"/>
        <w:gridCol w:w="1540"/>
        <w:gridCol w:w="20"/>
      </w:tblGrid>
      <w:tr w:rsidR="002406A5" w14:paraId="35B418FD" w14:textId="77777777">
        <w:trPr>
          <w:trHeight w:val="224"/>
        </w:trPr>
        <w:tc>
          <w:tcPr>
            <w:tcW w:w="7020" w:type="dxa"/>
            <w:vMerge w:val="restart"/>
            <w:vAlign w:val="bottom"/>
          </w:tcPr>
          <w:p w14:paraId="35B418FA" w14:textId="77777777" w:rsidR="002406A5" w:rsidRDefault="00577576">
            <w:pPr>
              <w:rPr>
                <w:sz w:val="20"/>
                <w:szCs w:val="20"/>
              </w:rPr>
            </w:pPr>
            <w:r>
              <w:rPr>
                <w:rFonts w:ascii="Arial" w:eastAsia="Arial" w:hAnsi="Arial" w:cs="Arial"/>
                <w:sz w:val="20"/>
                <w:szCs w:val="20"/>
              </w:rPr>
              <w:t>Universidad de Costa Rica, 10: 145-147, 2019 ISSN: 2215-2873</w:t>
            </w:r>
          </w:p>
        </w:tc>
        <w:tc>
          <w:tcPr>
            <w:tcW w:w="1540" w:type="dxa"/>
            <w:vAlign w:val="bottom"/>
          </w:tcPr>
          <w:p w14:paraId="35B418FB" w14:textId="77777777" w:rsidR="002406A5" w:rsidRDefault="00577576">
            <w:pPr>
              <w:spacing w:line="224" w:lineRule="exact"/>
              <w:jc w:val="right"/>
              <w:rPr>
                <w:sz w:val="20"/>
                <w:szCs w:val="20"/>
              </w:rPr>
            </w:pPr>
            <w:r>
              <w:rPr>
                <w:rFonts w:ascii="Arial" w:eastAsia="Arial" w:hAnsi="Arial" w:cs="Arial"/>
              </w:rPr>
              <w:t>147</w:t>
            </w:r>
          </w:p>
        </w:tc>
        <w:tc>
          <w:tcPr>
            <w:tcW w:w="0" w:type="dxa"/>
            <w:vAlign w:val="bottom"/>
          </w:tcPr>
          <w:p w14:paraId="35B418FC" w14:textId="77777777" w:rsidR="002406A5" w:rsidRDefault="002406A5">
            <w:pPr>
              <w:rPr>
                <w:sz w:val="1"/>
                <w:szCs w:val="1"/>
              </w:rPr>
            </w:pPr>
          </w:p>
        </w:tc>
      </w:tr>
      <w:tr w:rsidR="002406A5" w14:paraId="35B41901" w14:textId="77777777">
        <w:trPr>
          <w:trHeight w:val="58"/>
        </w:trPr>
        <w:tc>
          <w:tcPr>
            <w:tcW w:w="7020" w:type="dxa"/>
            <w:vMerge/>
            <w:vAlign w:val="bottom"/>
          </w:tcPr>
          <w:p w14:paraId="35B418FE" w14:textId="77777777" w:rsidR="002406A5" w:rsidRDefault="002406A5">
            <w:pPr>
              <w:rPr>
                <w:sz w:val="5"/>
                <w:szCs w:val="5"/>
              </w:rPr>
            </w:pPr>
          </w:p>
        </w:tc>
        <w:tc>
          <w:tcPr>
            <w:tcW w:w="1540" w:type="dxa"/>
            <w:vAlign w:val="bottom"/>
          </w:tcPr>
          <w:p w14:paraId="35B418FF" w14:textId="77777777" w:rsidR="002406A5" w:rsidRDefault="002406A5">
            <w:pPr>
              <w:rPr>
                <w:sz w:val="5"/>
                <w:szCs w:val="5"/>
              </w:rPr>
            </w:pPr>
          </w:p>
        </w:tc>
        <w:tc>
          <w:tcPr>
            <w:tcW w:w="0" w:type="dxa"/>
            <w:vAlign w:val="bottom"/>
          </w:tcPr>
          <w:p w14:paraId="35B41900" w14:textId="77777777" w:rsidR="002406A5" w:rsidRDefault="002406A5">
            <w:pPr>
              <w:rPr>
                <w:sz w:val="1"/>
                <w:szCs w:val="1"/>
              </w:rPr>
            </w:pPr>
          </w:p>
        </w:tc>
      </w:tr>
    </w:tbl>
    <w:p w14:paraId="35B41902" w14:textId="77777777" w:rsidR="002406A5" w:rsidRDefault="002406A5">
      <w:pPr>
        <w:spacing w:line="1" w:lineRule="exact"/>
        <w:rPr>
          <w:sz w:val="20"/>
          <w:szCs w:val="20"/>
        </w:rPr>
      </w:pPr>
    </w:p>
    <w:sectPr w:rsidR="002406A5">
      <w:pgSz w:w="12240" w:h="15840"/>
      <w:pgMar w:top="724" w:right="480" w:bottom="131" w:left="1440" w:header="0" w:footer="0" w:gutter="0"/>
      <w:cols w:space="720" w:equalWidth="0">
        <w:col w:w="10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6A5"/>
    <w:rsid w:val="000A3B71"/>
    <w:rsid w:val="002406A5"/>
    <w:rsid w:val="0057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18B9"/>
  <w15:docId w15:val="{2F4F02FD-6412-4ECB-8ADD-1E059090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1576</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Alonso Ramirez Cover</cp:lastModifiedBy>
  <cp:revision>3</cp:revision>
  <dcterms:created xsi:type="dcterms:W3CDTF">2020-06-19T23:51:00Z</dcterms:created>
  <dcterms:modified xsi:type="dcterms:W3CDTF">2021-02-25T21:09:00Z</dcterms:modified>
</cp:coreProperties>
</file>