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E94C0" w14:textId="4F8F9071" w:rsidR="00EF26BC" w:rsidRDefault="00343DF1" w:rsidP="00FA315E">
      <w:pPr>
        <w:ind w:left="5080" w:hanging="1536"/>
        <w:rPr>
          <w:sz w:val="20"/>
          <w:szCs w:val="20"/>
        </w:rPr>
      </w:pPr>
      <w:bookmarkStart w:id="0" w:name="page1"/>
      <w:bookmarkEnd w:id="0"/>
      <w:r>
        <w:rPr>
          <w:rFonts w:ascii="Arial" w:eastAsia="Arial" w:hAnsi="Arial" w:cs="Arial"/>
          <w:color w:val="201F1E"/>
          <w:sz w:val="19"/>
          <w:szCs w:val="19"/>
        </w:rPr>
        <w:t>Anuario del Centro de Investigación y Estudios Políticos</w:t>
      </w:r>
      <w:r w:rsidR="00FA315E">
        <w:rPr>
          <w:rFonts w:ascii="Arial" w:eastAsia="Arial" w:hAnsi="Arial" w:cs="Arial"/>
          <w:color w:val="201F1E"/>
          <w:sz w:val="19"/>
          <w:szCs w:val="19"/>
        </w:rPr>
        <w:t xml:space="preserve">, </w:t>
      </w:r>
      <w:r w:rsidR="00FA315E">
        <w:rPr>
          <w:rFonts w:ascii="Arial" w:eastAsia="Arial" w:hAnsi="Arial" w:cs="Arial"/>
          <w:color w:val="201F1E"/>
          <w:sz w:val="20"/>
          <w:szCs w:val="20"/>
        </w:rPr>
        <w:t>ISSN: 2215-2873</w:t>
      </w:r>
    </w:p>
    <w:p w14:paraId="78AE94C1" w14:textId="77777777" w:rsidR="00EF26BC" w:rsidRDefault="00EF26BC">
      <w:pPr>
        <w:spacing w:line="42" w:lineRule="exact"/>
        <w:rPr>
          <w:sz w:val="24"/>
          <w:szCs w:val="24"/>
        </w:rPr>
      </w:pPr>
    </w:p>
    <w:p w14:paraId="78AE94C2" w14:textId="7B95079B" w:rsidR="00EF26BC" w:rsidRDefault="00343DF1">
      <w:pPr>
        <w:ind w:right="300"/>
        <w:jc w:val="right"/>
        <w:rPr>
          <w:sz w:val="20"/>
          <w:szCs w:val="20"/>
        </w:rPr>
      </w:pPr>
      <w:r>
        <w:rPr>
          <w:rFonts w:ascii="Arial" w:eastAsia="Arial" w:hAnsi="Arial" w:cs="Arial"/>
          <w:color w:val="201F1E"/>
          <w:sz w:val="20"/>
          <w:szCs w:val="20"/>
        </w:rPr>
        <w:t>Universidad de Costa Rica, 10: 89-115, 2019</w:t>
      </w:r>
      <w:r w:rsidR="00FA315E">
        <w:rPr>
          <w:rFonts w:ascii="Arial" w:eastAsia="Arial" w:hAnsi="Arial" w:cs="Arial"/>
          <w:color w:val="201F1E"/>
          <w:sz w:val="20"/>
          <w:szCs w:val="20"/>
        </w:rPr>
        <w:t xml:space="preserve">, DOI: </w:t>
      </w:r>
      <w:r w:rsidRPr="00343DF1">
        <w:rPr>
          <w:rFonts w:ascii="Arial" w:eastAsia="Arial" w:hAnsi="Arial" w:cs="Arial"/>
          <w:color w:val="201F1E"/>
          <w:sz w:val="20"/>
          <w:szCs w:val="20"/>
        </w:rPr>
        <w:t>10.15517/ACIEP.V0I10.39155</w:t>
      </w:r>
    </w:p>
    <w:p w14:paraId="78AE94C3" w14:textId="77777777" w:rsidR="00EF26BC" w:rsidRDefault="00EF26BC">
      <w:pPr>
        <w:spacing w:line="308" w:lineRule="exact"/>
        <w:rPr>
          <w:sz w:val="24"/>
          <w:szCs w:val="24"/>
        </w:rPr>
      </w:pPr>
    </w:p>
    <w:p w14:paraId="78AE94C4" w14:textId="77777777" w:rsidR="00EF26BC" w:rsidRDefault="00343DF1">
      <w:pPr>
        <w:ind w:left="1760"/>
        <w:rPr>
          <w:sz w:val="20"/>
          <w:szCs w:val="20"/>
        </w:rPr>
      </w:pPr>
      <w:r>
        <w:rPr>
          <w:rFonts w:ascii="Arial" w:eastAsia="Arial" w:hAnsi="Arial" w:cs="Arial"/>
          <w:sz w:val="28"/>
          <w:szCs w:val="28"/>
        </w:rPr>
        <w:t>VIOLENCIA CONTRA LAS MUJERES Y FEMICIDIO</w:t>
      </w:r>
    </w:p>
    <w:p w14:paraId="78AE94C5" w14:textId="77777777" w:rsidR="00EF26BC" w:rsidRDefault="00EF26BC">
      <w:pPr>
        <w:spacing w:line="350" w:lineRule="exact"/>
        <w:rPr>
          <w:sz w:val="24"/>
          <w:szCs w:val="24"/>
        </w:rPr>
      </w:pPr>
    </w:p>
    <w:p w14:paraId="78AE94C6" w14:textId="77777777" w:rsidR="00EF26BC" w:rsidRPr="00FA315E" w:rsidRDefault="00343DF1">
      <w:pPr>
        <w:ind w:left="1940"/>
        <w:rPr>
          <w:sz w:val="20"/>
          <w:szCs w:val="20"/>
          <w:lang w:val="en-US"/>
        </w:rPr>
      </w:pPr>
      <w:r w:rsidRPr="00FA315E">
        <w:rPr>
          <w:rFonts w:ascii="Arial" w:eastAsia="Arial" w:hAnsi="Arial" w:cs="Arial"/>
          <w:sz w:val="28"/>
          <w:szCs w:val="28"/>
          <w:lang w:val="en-US"/>
        </w:rPr>
        <w:t>VIOLENCE AGAINST WOMEN AND FEMICIDE</w:t>
      </w:r>
    </w:p>
    <w:p w14:paraId="78AE94C7" w14:textId="77777777" w:rsidR="00EF26BC" w:rsidRPr="00FA315E" w:rsidRDefault="00EF26BC">
      <w:pPr>
        <w:spacing w:line="200" w:lineRule="exact"/>
        <w:rPr>
          <w:sz w:val="24"/>
          <w:szCs w:val="24"/>
          <w:lang w:val="en-US"/>
        </w:rPr>
      </w:pPr>
    </w:p>
    <w:p w14:paraId="78AE94C8" w14:textId="77777777" w:rsidR="00EF26BC" w:rsidRPr="00FA315E" w:rsidRDefault="00EF26BC">
      <w:pPr>
        <w:spacing w:line="373" w:lineRule="exact"/>
        <w:rPr>
          <w:sz w:val="24"/>
          <w:szCs w:val="24"/>
          <w:lang w:val="en-US"/>
        </w:rPr>
      </w:pPr>
    </w:p>
    <w:p w14:paraId="78AE94C9" w14:textId="77777777" w:rsidR="00EF26BC" w:rsidRPr="00FA315E" w:rsidRDefault="00343DF1">
      <w:pPr>
        <w:ind w:right="1680"/>
        <w:jc w:val="right"/>
        <w:rPr>
          <w:sz w:val="20"/>
          <w:szCs w:val="20"/>
          <w:lang w:val="en-US"/>
        </w:rPr>
      </w:pPr>
      <w:r w:rsidRPr="00FA315E">
        <w:rPr>
          <w:rFonts w:eastAsia="Times New Roman"/>
          <w:b/>
          <w:bCs/>
          <w:sz w:val="24"/>
          <w:szCs w:val="24"/>
          <w:lang w:val="en-US"/>
        </w:rPr>
        <w:t>MSc. Marcela Piedra Durán</w:t>
      </w:r>
    </w:p>
    <w:p w14:paraId="78AE94CA" w14:textId="77777777" w:rsidR="00EF26BC" w:rsidRPr="00FA315E" w:rsidRDefault="00EF26BC">
      <w:pPr>
        <w:spacing w:line="36" w:lineRule="exact"/>
        <w:rPr>
          <w:sz w:val="24"/>
          <w:szCs w:val="24"/>
          <w:lang w:val="en-US"/>
        </w:rPr>
      </w:pPr>
    </w:p>
    <w:p w14:paraId="78AE94CB" w14:textId="77777777" w:rsidR="00EF26BC" w:rsidRDefault="00343DF1">
      <w:pPr>
        <w:ind w:right="1680"/>
        <w:jc w:val="right"/>
        <w:rPr>
          <w:sz w:val="20"/>
          <w:szCs w:val="20"/>
        </w:rPr>
      </w:pPr>
      <w:r>
        <w:rPr>
          <w:rFonts w:eastAsia="Times New Roman"/>
          <w:sz w:val="24"/>
          <w:szCs w:val="24"/>
        </w:rPr>
        <w:t>Universidad de Costa Rica</w:t>
      </w:r>
    </w:p>
    <w:p w14:paraId="78AE94CC" w14:textId="77777777" w:rsidR="00EF26BC" w:rsidRDefault="00343DF1">
      <w:pPr>
        <w:ind w:right="1680"/>
        <w:jc w:val="right"/>
        <w:rPr>
          <w:sz w:val="20"/>
          <w:szCs w:val="20"/>
        </w:rPr>
      </w:pPr>
      <w:r>
        <w:rPr>
          <w:rFonts w:eastAsia="Times New Roman"/>
          <w:sz w:val="24"/>
          <w:szCs w:val="24"/>
        </w:rPr>
        <w:t>San José, Costa Rica</w:t>
      </w:r>
    </w:p>
    <w:p w14:paraId="78AE94CD" w14:textId="77777777" w:rsidR="00EF26BC" w:rsidRDefault="00343DF1">
      <w:pPr>
        <w:ind w:right="1680"/>
        <w:jc w:val="right"/>
        <w:rPr>
          <w:sz w:val="20"/>
          <w:szCs w:val="20"/>
        </w:rPr>
      </w:pPr>
      <w:r>
        <w:rPr>
          <w:rFonts w:eastAsia="Times New Roman"/>
          <w:sz w:val="24"/>
          <w:szCs w:val="24"/>
        </w:rPr>
        <w:t>marcela.piedraduran@ucr.ac.cr</w:t>
      </w:r>
    </w:p>
    <w:p w14:paraId="78AE94CE" w14:textId="77777777" w:rsidR="00EF26BC" w:rsidRDefault="00EF26BC">
      <w:pPr>
        <w:spacing w:line="200" w:lineRule="exact"/>
        <w:rPr>
          <w:sz w:val="24"/>
          <w:szCs w:val="24"/>
        </w:rPr>
      </w:pPr>
    </w:p>
    <w:p w14:paraId="78AE94CF" w14:textId="77777777" w:rsidR="00EF26BC" w:rsidRDefault="00EF26BC">
      <w:pPr>
        <w:spacing w:line="244" w:lineRule="exact"/>
        <w:rPr>
          <w:sz w:val="24"/>
          <w:szCs w:val="24"/>
        </w:rPr>
      </w:pPr>
    </w:p>
    <w:p w14:paraId="78AE94D0" w14:textId="77777777" w:rsidR="00EF26BC" w:rsidRDefault="00343DF1">
      <w:pPr>
        <w:spacing w:line="253" w:lineRule="auto"/>
        <w:ind w:left="820" w:right="1680"/>
        <w:jc w:val="both"/>
        <w:rPr>
          <w:sz w:val="20"/>
          <w:szCs w:val="20"/>
        </w:rPr>
      </w:pPr>
      <w:r>
        <w:rPr>
          <w:rFonts w:eastAsia="Times New Roman"/>
          <w:sz w:val="23"/>
          <w:szCs w:val="23"/>
        </w:rPr>
        <w:t xml:space="preserve">Costarricense. Politóloga. Profesora de la Universidad de Costa Rica. Cuenta con una Maestría Académica del postgrado centroamericano de Ciencias Políticas de la Universidad de Costa Rica, Licenciada en </w:t>
      </w:r>
      <w:r>
        <w:rPr>
          <w:rFonts w:eastAsia="Times New Roman"/>
          <w:sz w:val="23"/>
          <w:szCs w:val="23"/>
        </w:rPr>
        <w:t>Ciencias Políticas con énfasis en Gobierno y Políticas Públicas de la misma casa de estudios. Consultora independiente para la Fundación para el Desarrollo Local y el Fortalecimiento Municipal (DEMUCA), Fundación para la Paz y la Democracia (FUNPADEM), Fun</w:t>
      </w:r>
      <w:r>
        <w:rPr>
          <w:rFonts w:eastAsia="Times New Roman"/>
          <w:sz w:val="23"/>
          <w:szCs w:val="23"/>
        </w:rPr>
        <w:t>dación Friedrich Ebert, Programa para la Cohesión Social en América Latina (EUROs</w:t>
      </w:r>
      <w:r>
        <w:rPr>
          <w:rFonts w:eastAsia="Times New Roman"/>
          <w:color w:val="222222"/>
          <w:sz w:val="23"/>
          <w:szCs w:val="23"/>
        </w:rPr>
        <w:t>ociAL) y Programa de las Naciones Unidas para el Desarrollo (PNUD)</w:t>
      </w:r>
      <w:r>
        <w:rPr>
          <w:rFonts w:eastAsia="Times New Roman"/>
          <w:sz w:val="23"/>
          <w:szCs w:val="23"/>
        </w:rPr>
        <w:t xml:space="preserve"> </w:t>
      </w:r>
      <w:r>
        <w:rPr>
          <w:rFonts w:eastAsia="Times New Roman"/>
          <w:color w:val="222222"/>
          <w:sz w:val="23"/>
          <w:szCs w:val="23"/>
        </w:rPr>
        <w:t xml:space="preserve">en temas de género, seguridad ciudadana, prevención de la violencia, democracia y ciudadanía. </w:t>
      </w:r>
      <w:r>
        <w:rPr>
          <w:rFonts w:eastAsia="Times New Roman"/>
          <w:color w:val="000000"/>
          <w:sz w:val="23"/>
          <w:szCs w:val="23"/>
        </w:rPr>
        <w:t>Fue coordinado</w:t>
      </w:r>
      <w:r>
        <w:rPr>
          <w:rFonts w:eastAsia="Times New Roman"/>
          <w:color w:val="000000"/>
          <w:sz w:val="23"/>
          <w:szCs w:val="23"/>
        </w:rPr>
        <w:t>ra del Área de Ciudadanía Activa, Liderazgo y</w:t>
      </w:r>
      <w:r>
        <w:rPr>
          <w:rFonts w:eastAsia="Times New Roman"/>
          <w:color w:val="222222"/>
          <w:sz w:val="23"/>
          <w:szCs w:val="23"/>
        </w:rPr>
        <w:t xml:space="preserve"> </w:t>
      </w:r>
      <w:r>
        <w:rPr>
          <w:rFonts w:eastAsia="Times New Roman"/>
          <w:color w:val="000000"/>
          <w:sz w:val="23"/>
          <w:szCs w:val="23"/>
        </w:rPr>
        <w:t>Gestión Local, a cargo del Centro de Formación Política de la Mujeres y Profesional Especialista del Área de Gestión de Políticas Públicas para la Equidad de Género del Instituto Nacional de las Mujeres (INAMU)</w:t>
      </w:r>
      <w:r>
        <w:rPr>
          <w:rFonts w:eastAsia="Times New Roman"/>
          <w:color w:val="000000"/>
          <w:sz w:val="23"/>
          <w:szCs w:val="23"/>
        </w:rPr>
        <w:t>. Actualmente se desempeña como profesora de la Escuela de Ciencias Políticas e investigadora del Centro de Investigación y Estudios Políticos (CIEP) y del Programa de Interés Institucional en Violencia y Sociedad, es conductora del programa de análisis po</w:t>
      </w:r>
      <w:r>
        <w:rPr>
          <w:rFonts w:eastAsia="Times New Roman"/>
          <w:color w:val="000000"/>
          <w:sz w:val="23"/>
          <w:szCs w:val="23"/>
        </w:rPr>
        <w:t>lítico Sobre la Mesa una coproducción del CIEP y el Canal UCR, todas instancias de la Universidad de Costa Rica. Especialista en género y diversidad de la Oficina de las Naciones Unidas de Servicios para Proyectos (UNOPS). Sus líneas de investigación son g</w:t>
      </w:r>
      <w:r>
        <w:rPr>
          <w:rFonts w:eastAsia="Times New Roman"/>
          <w:color w:val="000000"/>
          <w:sz w:val="23"/>
          <w:szCs w:val="23"/>
        </w:rPr>
        <w:t>énero, feminismos, seguridad ciudadana, prevención de la violencia, democracia y ciudadanía.</w:t>
      </w:r>
    </w:p>
    <w:p w14:paraId="78AE94D1" w14:textId="77777777" w:rsidR="00EF26BC" w:rsidRDefault="00EF26BC">
      <w:pPr>
        <w:spacing w:line="200" w:lineRule="exact"/>
        <w:rPr>
          <w:sz w:val="24"/>
          <w:szCs w:val="24"/>
        </w:rPr>
      </w:pPr>
    </w:p>
    <w:p w14:paraId="78AE94D2" w14:textId="77777777" w:rsidR="00EF26BC" w:rsidRDefault="00EF26BC">
      <w:pPr>
        <w:spacing w:line="223" w:lineRule="exact"/>
        <w:rPr>
          <w:sz w:val="24"/>
          <w:szCs w:val="24"/>
        </w:rPr>
      </w:pPr>
    </w:p>
    <w:p w14:paraId="78AE94D3" w14:textId="77777777" w:rsidR="00EF26BC" w:rsidRDefault="00343DF1">
      <w:pPr>
        <w:ind w:left="2520"/>
        <w:rPr>
          <w:sz w:val="20"/>
          <w:szCs w:val="20"/>
        </w:rPr>
      </w:pPr>
      <w:r>
        <w:rPr>
          <w:rFonts w:eastAsia="Times New Roman"/>
          <w:i/>
          <w:iCs/>
          <w:sz w:val="24"/>
          <w:szCs w:val="24"/>
        </w:rPr>
        <w:t>Recibido 21/01/2020 – Aceptado 20/04/2020</w:t>
      </w:r>
    </w:p>
    <w:p w14:paraId="78AE94D4" w14:textId="77777777" w:rsidR="00EF26BC" w:rsidRDefault="00EF26BC">
      <w:pPr>
        <w:spacing w:line="200" w:lineRule="exact"/>
        <w:rPr>
          <w:sz w:val="24"/>
          <w:szCs w:val="24"/>
        </w:rPr>
      </w:pPr>
    </w:p>
    <w:p w14:paraId="78AE94D5" w14:textId="77777777" w:rsidR="00EF26BC" w:rsidRDefault="00EF26BC">
      <w:pPr>
        <w:spacing w:line="200" w:lineRule="exact"/>
        <w:rPr>
          <w:sz w:val="24"/>
          <w:szCs w:val="24"/>
        </w:rPr>
      </w:pPr>
    </w:p>
    <w:p w14:paraId="78AE94D6" w14:textId="77777777" w:rsidR="00EF26BC" w:rsidRDefault="00EF26BC">
      <w:pPr>
        <w:spacing w:line="240" w:lineRule="exact"/>
        <w:rPr>
          <w:sz w:val="24"/>
          <w:szCs w:val="24"/>
        </w:rPr>
      </w:pPr>
    </w:p>
    <w:p w14:paraId="78AE94D7" w14:textId="77777777" w:rsidR="00EF26BC" w:rsidRDefault="00343DF1">
      <w:pPr>
        <w:ind w:right="860"/>
        <w:jc w:val="center"/>
        <w:rPr>
          <w:sz w:val="20"/>
          <w:szCs w:val="20"/>
        </w:rPr>
      </w:pPr>
      <w:r>
        <w:rPr>
          <w:rFonts w:ascii="Arial" w:eastAsia="Arial" w:hAnsi="Arial" w:cs="Arial"/>
          <w:b/>
          <w:bCs/>
          <w:sz w:val="28"/>
          <w:szCs w:val="28"/>
        </w:rPr>
        <w:t>RESUMEN</w:t>
      </w:r>
    </w:p>
    <w:p w14:paraId="78AE94D8" w14:textId="77777777" w:rsidR="00EF26BC" w:rsidRDefault="00EF26BC">
      <w:pPr>
        <w:spacing w:line="189" w:lineRule="exact"/>
        <w:rPr>
          <w:sz w:val="24"/>
          <w:szCs w:val="24"/>
        </w:rPr>
      </w:pPr>
    </w:p>
    <w:p w14:paraId="78AE94D9" w14:textId="77777777" w:rsidR="00EF26BC" w:rsidRDefault="00343DF1">
      <w:pPr>
        <w:spacing w:line="260" w:lineRule="auto"/>
        <w:ind w:left="820" w:right="1680"/>
        <w:jc w:val="both"/>
        <w:rPr>
          <w:sz w:val="20"/>
          <w:szCs w:val="20"/>
        </w:rPr>
      </w:pPr>
      <w:r>
        <w:rPr>
          <w:rFonts w:eastAsia="Times New Roman"/>
          <w:sz w:val="23"/>
          <w:szCs w:val="23"/>
        </w:rPr>
        <w:t xml:space="preserve">Este artículo es producto del proyecto de investigación “El femicidio: la máxima expresión de la </w:t>
      </w:r>
      <w:r>
        <w:rPr>
          <w:rFonts w:eastAsia="Times New Roman"/>
          <w:sz w:val="23"/>
          <w:szCs w:val="23"/>
        </w:rPr>
        <w:t>violencia contra las mujeres”, tiene como objetivo visibilizar la violencia contra las mujeres y el femicidio como resultado de las desigualdades de poder generadas y legitimadas por las estructuras patriarcales. Es resultado de la recopilación de informac</w:t>
      </w:r>
      <w:r>
        <w:rPr>
          <w:rFonts w:eastAsia="Times New Roman"/>
          <w:sz w:val="23"/>
          <w:szCs w:val="23"/>
        </w:rPr>
        <w:t>ión teórica y estadística, que demuestran la importancia del análisis del femicidio como un asunto de interés público y la</w:t>
      </w:r>
    </w:p>
    <w:p w14:paraId="78AE94DA" w14:textId="77777777" w:rsidR="00EF26BC" w:rsidRDefault="00EF26BC">
      <w:pPr>
        <w:sectPr w:rsidR="00EF26BC">
          <w:pgSz w:w="12240" w:h="15840"/>
          <w:pgMar w:top="714" w:right="600" w:bottom="0" w:left="1440" w:header="0" w:footer="0" w:gutter="0"/>
          <w:cols w:space="720" w:equalWidth="0">
            <w:col w:w="10200"/>
          </w:cols>
        </w:sectPr>
      </w:pPr>
    </w:p>
    <w:p w14:paraId="78AE94DB" w14:textId="77777777" w:rsidR="00EF26BC" w:rsidRDefault="00EF26BC">
      <w:pPr>
        <w:spacing w:line="200" w:lineRule="exact"/>
        <w:rPr>
          <w:sz w:val="24"/>
          <w:szCs w:val="24"/>
        </w:rPr>
      </w:pPr>
    </w:p>
    <w:p w14:paraId="78AE94DC" w14:textId="77777777" w:rsidR="00EF26BC" w:rsidRDefault="00EF26BC">
      <w:pPr>
        <w:spacing w:line="200" w:lineRule="exact"/>
        <w:rPr>
          <w:sz w:val="24"/>
          <w:szCs w:val="24"/>
        </w:rPr>
      </w:pPr>
    </w:p>
    <w:p w14:paraId="78AE94DD" w14:textId="77777777" w:rsidR="00EF26BC" w:rsidRDefault="00EF26BC">
      <w:pPr>
        <w:spacing w:line="200" w:lineRule="exact"/>
        <w:rPr>
          <w:sz w:val="24"/>
          <w:szCs w:val="24"/>
        </w:rPr>
      </w:pPr>
    </w:p>
    <w:p w14:paraId="78AE94DE" w14:textId="77777777" w:rsidR="00EF26BC" w:rsidRDefault="00EF26BC">
      <w:pPr>
        <w:spacing w:line="344" w:lineRule="exact"/>
        <w:rPr>
          <w:sz w:val="24"/>
          <w:szCs w:val="24"/>
        </w:rPr>
      </w:pPr>
    </w:p>
    <w:p w14:paraId="78AE94DF" w14:textId="77777777" w:rsidR="00EF26BC" w:rsidRDefault="00343DF1">
      <w:pPr>
        <w:ind w:left="9940"/>
        <w:rPr>
          <w:sz w:val="20"/>
          <w:szCs w:val="20"/>
        </w:rPr>
      </w:pPr>
      <w:r>
        <w:rPr>
          <w:rFonts w:ascii="Arial" w:eastAsia="Arial" w:hAnsi="Arial" w:cs="Arial"/>
          <w:color w:val="3C3C3B"/>
        </w:rPr>
        <w:t>89</w:t>
      </w:r>
    </w:p>
    <w:p w14:paraId="78AE94E0" w14:textId="77777777" w:rsidR="00EF26BC" w:rsidRDefault="00EF26BC">
      <w:pPr>
        <w:sectPr w:rsidR="00EF26BC">
          <w:type w:val="continuous"/>
          <w:pgSz w:w="12240" w:h="15840"/>
          <w:pgMar w:top="714" w:right="600" w:bottom="0" w:left="1440" w:header="0" w:footer="0" w:gutter="0"/>
          <w:cols w:space="720" w:equalWidth="0">
            <w:col w:w="10200"/>
          </w:cols>
        </w:sectPr>
      </w:pPr>
    </w:p>
    <w:p w14:paraId="78AE94E1" w14:textId="77777777" w:rsidR="00EF26BC" w:rsidRDefault="00343DF1">
      <w:pPr>
        <w:ind w:left="3700"/>
        <w:rPr>
          <w:sz w:val="20"/>
          <w:szCs w:val="20"/>
        </w:rPr>
      </w:pPr>
      <w:bookmarkStart w:id="1" w:name="page2"/>
      <w:bookmarkEnd w:id="1"/>
      <w:r>
        <w:rPr>
          <w:rFonts w:ascii="Arial" w:eastAsia="Arial" w:hAnsi="Arial" w:cs="Arial"/>
          <w:sz w:val="20"/>
          <w:szCs w:val="20"/>
        </w:rPr>
        <w:lastRenderedPageBreak/>
        <w:t>Marcela Piedra Durán</w:t>
      </w:r>
    </w:p>
    <w:p w14:paraId="78AE94E2" w14:textId="77777777" w:rsidR="00EF26BC" w:rsidRDefault="00EF26BC">
      <w:pPr>
        <w:spacing w:line="200" w:lineRule="exact"/>
        <w:rPr>
          <w:sz w:val="20"/>
          <w:szCs w:val="20"/>
        </w:rPr>
      </w:pPr>
    </w:p>
    <w:p w14:paraId="78AE94E3" w14:textId="77777777" w:rsidR="00EF26BC" w:rsidRDefault="00EF26BC">
      <w:pPr>
        <w:spacing w:line="200" w:lineRule="exact"/>
        <w:rPr>
          <w:sz w:val="20"/>
          <w:szCs w:val="20"/>
        </w:rPr>
      </w:pPr>
    </w:p>
    <w:p w14:paraId="78AE94E4" w14:textId="77777777" w:rsidR="00EF26BC" w:rsidRDefault="00EF26BC">
      <w:pPr>
        <w:spacing w:line="332" w:lineRule="exact"/>
        <w:rPr>
          <w:sz w:val="20"/>
          <w:szCs w:val="20"/>
        </w:rPr>
      </w:pPr>
    </w:p>
    <w:p w14:paraId="78AE94E5" w14:textId="77777777" w:rsidR="00EF26BC" w:rsidRDefault="00343DF1">
      <w:pPr>
        <w:spacing w:line="276" w:lineRule="auto"/>
        <w:ind w:left="820" w:right="1700"/>
        <w:jc w:val="both"/>
        <w:rPr>
          <w:sz w:val="20"/>
          <w:szCs w:val="20"/>
        </w:rPr>
      </w:pPr>
      <w:r>
        <w:rPr>
          <w:rFonts w:eastAsia="Times New Roman"/>
          <w:sz w:val="24"/>
          <w:szCs w:val="24"/>
        </w:rPr>
        <w:t xml:space="preserve">necesidad de ser incorporado de manera integral en todas las </w:t>
      </w:r>
      <w:r>
        <w:rPr>
          <w:rFonts w:eastAsia="Times New Roman"/>
          <w:sz w:val="24"/>
          <w:szCs w:val="24"/>
        </w:rPr>
        <w:t>políticas de prevención de la violencia que se desarrollen en Costa Rica.</w:t>
      </w:r>
    </w:p>
    <w:p w14:paraId="78AE94E6" w14:textId="77777777" w:rsidR="00EF26BC" w:rsidRDefault="00EF26BC">
      <w:pPr>
        <w:spacing w:line="115" w:lineRule="exact"/>
        <w:rPr>
          <w:sz w:val="20"/>
          <w:szCs w:val="20"/>
        </w:rPr>
      </w:pPr>
    </w:p>
    <w:p w14:paraId="78AE94E7" w14:textId="77777777" w:rsidR="00EF26BC" w:rsidRDefault="00343DF1">
      <w:pPr>
        <w:spacing w:line="279" w:lineRule="auto"/>
        <w:ind w:left="820" w:right="1700"/>
        <w:jc w:val="both"/>
        <w:rPr>
          <w:sz w:val="20"/>
          <w:szCs w:val="20"/>
        </w:rPr>
      </w:pPr>
      <w:r>
        <w:rPr>
          <w:rFonts w:eastAsia="Times New Roman"/>
          <w:b/>
          <w:bCs/>
          <w:sz w:val="24"/>
          <w:szCs w:val="24"/>
        </w:rPr>
        <w:t xml:space="preserve">Palabras clave: </w:t>
      </w:r>
      <w:r>
        <w:rPr>
          <w:rFonts w:eastAsia="Times New Roman"/>
          <w:sz w:val="24"/>
          <w:szCs w:val="24"/>
        </w:rPr>
        <w:t>violencia, patriarcado, discriminación contra las mujeres,</w:t>
      </w:r>
      <w:r>
        <w:rPr>
          <w:rFonts w:eastAsia="Times New Roman"/>
          <w:b/>
          <w:bCs/>
          <w:sz w:val="24"/>
          <w:szCs w:val="24"/>
        </w:rPr>
        <w:t xml:space="preserve"> </w:t>
      </w:r>
      <w:r>
        <w:rPr>
          <w:rFonts w:eastAsia="Times New Roman"/>
          <w:sz w:val="24"/>
          <w:szCs w:val="24"/>
        </w:rPr>
        <w:t>misoginia, femicidio</w:t>
      </w:r>
    </w:p>
    <w:p w14:paraId="78AE94E8" w14:textId="77777777" w:rsidR="00EF26BC" w:rsidRDefault="00EF26BC">
      <w:pPr>
        <w:spacing w:line="200" w:lineRule="exact"/>
        <w:rPr>
          <w:sz w:val="20"/>
          <w:szCs w:val="20"/>
        </w:rPr>
      </w:pPr>
    </w:p>
    <w:p w14:paraId="78AE94E9" w14:textId="77777777" w:rsidR="00EF26BC" w:rsidRDefault="00EF26BC">
      <w:pPr>
        <w:spacing w:line="313" w:lineRule="exact"/>
        <w:rPr>
          <w:sz w:val="20"/>
          <w:szCs w:val="20"/>
        </w:rPr>
      </w:pPr>
    </w:p>
    <w:p w14:paraId="78AE94EA" w14:textId="77777777" w:rsidR="00EF26BC" w:rsidRPr="00FA315E" w:rsidRDefault="00343DF1">
      <w:pPr>
        <w:ind w:right="880"/>
        <w:jc w:val="center"/>
        <w:rPr>
          <w:sz w:val="20"/>
          <w:szCs w:val="20"/>
          <w:lang w:val="en-US"/>
        </w:rPr>
      </w:pPr>
      <w:r w:rsidRPr="00FA315E">
        <w:rPr>
          <w:rFonts w:ascii="Arial" w:eastAsia="Arial" w:hAnsi="Arial" w:cs="Arial"/>
          <w:b/>
          <w:bCs/>
          <w:sz w:val="28"/>
          <w:szCs w:val="28"/>
          <w:lang w:val="en-US"/>
        </w:rPr>
        <w:t>ABSTRACT</w:t>
      </w:r>
    </w:p>
    <w:p w14:paraId="78AE94EB" w14:textId="77777777" w:rsidR="00EF26BC" w:rsidRPr="00FA315E" w:rsidRDefault="00EF26BC">
      <w:pPr>
        <w:spacing w:line="189" w:lineRule="exact"/>
        <w:rPr>
          <w:sz w:val="20"/>
          <w:szCs w:val="20"/>
          <w:lang w:val="en-US"/>
        </w:rPr>
      </w:pPr>
    </w:p>
    <w:p w14:paraId="78AE94EC" w14:textId="77777777" w:rsidR="00EF26BC" w:rsidRPr="00FA315E" w:rsidRDefault="00343DF1">
      <w:pPr>
        <w:spacing w:line="246" w:lineRule="auto"/>
        <w:ind w:left="820" w:right="1700"/>
        <w:jc w:val="both"/>
        <w:rPr>
          <w:sz w:val="20"/>
          <w:szCs w:val="20"/>
          <w:lang w:val="en-US"/>
        </w:rPr>
      </w:pPr>
      <w:r w:rsidRPr="00FA315E">
        <w:rPr>
          <w:rFonts w:eastAsia="Times New Roman"/>
          <w:sz w:val="24"/>
          <w:szCs w:val="24"/>
          <w:lang w:val="en-US"/>
        </w:rPr>
        <w:t>This article is a result of the findings of the research project "Femicid</w:t>
      </w:r>
      <w:r w:rsidRPr="00FA315E">
        <w:rPr>
          <w:rFonts w:eastAsia="Times New Roman"/>
          <w:sz w:val="24"/>
          <w:szCs w:val="24"/>
          <w:lang w:val="en-US"/>
        </w:rPr>
        <w:t xml:space="preserve">e: The Extreme Expression of Violence Against Women". </w:t>
      </w:r>
      <w:proofErr w:type="gramStart"/>
      <w:r w:rsidRPr="00FA315E">
        <w:rPr>
          <w:rFonts w:eastAsia="Times New Roman"/>
          <w:sz w:val="24"/>
          <w:szCs w:val="24"/>
          <w:lang w:val="en-US"/>
        </w:rPr>
        <w:t>It’s</w:t>
      </w:r>
      <w:proofErr w:type="gramEnd"/>
      <w:r w:rsidRPr="00FA315E">
        <w:rPr>
          <w:rFonts w:eastAsia="Times New Roman"/>
          <w:sz w:val="24"/>
          <w:szCs w:val="24"/>
          <w:lang w:val="en-US"/>
        </w:rPr>
        <w:t xml:space="preserve"> objective is to expose the violence against women and femicide as a result of the power inequalities generated and legitimized by patriarchal structures The theoretical discussion about the concept</w:t>
      </w:r>
      <w:r w:rsidRPr="00FA315E">
        <w:rPr>
          <w:rFonts w:eastAsia="Times New Roman"/>
          <w:sz w:val="24"/>
          <w:szCs w:val="24"/>
          <w:lang w:val="en-US"/>
        </w:rPr>
        <w:t xml:space="preserve"> of femicide and how it is reflected in the country’s statistics not only highlight the femicide as a public interest matter, but also the need to include it in all the violence prevention policies developed in Costa Rica.</w:t>
      </w:r>
    </w:p>
    <w:p w14:paraId="78AE94ED" w14:textId="77777777" w:rsidR="00EF26BC" w:rsidRPr="00FA315E" w:rsidRDefault="00EF26BC">
      <w:pPr>
        <w:spacing w:line="152" w:lineRule="exact"/>
        <w:rPr>
          <w:sz w:val="20"/>
          <w:szCs w:val="20"/>
          <w:lang w:val="en-US"/>
        </w:rPr>
      </w:pPr>
    </w:p>
    <w:p w14:paraId="78AE94EE" w14:textId="77777777" w:rsidR="00EF26BC" w:rsidRPr="00FA315E" w:rsidRDefault="00343DF1">
      <w:pPr>
        <w:spacing w:line="279" w:lineRule="auto"/>
        <w:ind w:left="820" w:right="1700"/>
        <w:jc w:val="both"/>
        <w:rPr>
          <w:sz w:val="20"/>
          <w:szCs w:val="20"/>
          <w:lang w:val="en-US"/>
        </w:rPr>
      </w:pPr>
      <w:r w:rsidRPr="00FA315E">
        <w:rPr>
          <w:rFonts w:eastAsia="Times New Roman"/>
          <w:b/>
          <w:bCs/>
          <w:sz w:val="24"/>
          <w:szCs w:val="24"/>
          <w:lang w:val="en-US"/>
        </w:rPr>
        <w:t xml:space="preserve">Keywords: </w:t>
      </w:r>
      <w:r w:rsidRPr="00FA315E">
        <w:rPr>
          <w:rFonts w:eastAsia="Times New Roman"/>
          <w:sz w:val="24"/>
          <w:szCs w:val="24"/>
          <w:lang w:val="en-US"/>
        </w:rPr>
        <w:t xml:space="preserve">violence, patriarchy, </w:t>
      </w:r>
      <w:r w:rsidRPr="00FA315E">
        <w:rPr>
          <w:rFonts w:eastAsia="Times New Roman"/>
          <w:sz w:val="24"/>
          <w:szCs w:val="24"/>
          <w:lang w:val="en-US"/>
        </w:rPr>
        <w:t>discrimination against women, misogyny,</w:t>
      </w:r>
      <w:r w:rsidRPr="00FA315E">
        <w:rPr>
          <w:rFonts w:eastAsia="Times New Roman"/>
          <w:b/>
          <w:bCs/>
          <w:sz w:val="24"/>
          <w:szCs w:val="24"/>
          <w:lang w:val="en-US"/>
        </w:rPr>
        <w:t xml:space="preserve"> </w:t>
      </w:r>
      <w:r w:rsidRPr="00FA315E">
        <w:rPr>
          <w:rFonts w:eastAsia="Times New Roman"/>
          <w:sz w:val="24"/>
          <w:szCs w:val="24"/>
          <w:lang w:val="en-US"/>
        </w:rPr>
        <w:t>femicide.</w:t>
      </w:r>
    </w:p>
    <w:p w14:paraId="78AE94EF" w14:textId="77777777" w:rsidR="00EF26BC" w:rsidRPr="00FA315E" w:rsidRDefault="00EF26BC">
      <w:pPr>
        <w:spacing w:line="200" w:lineRule="exact"/>
        <w:rPr>
          <w:sz w:val="20"/>
          <w:szCs w:val="20"/>
          <w:lang w:val="en-US"/>
        </w:rPr>
      </w:pPr>
    </w:p>
    <w:p w14:paraId="78AE94F0" w14:textId="77777777" w:rsidR="00EF26BC" w:rsidRPr="00FA315E" w:rsidRDefault="00EF26BC">
      <w:pPr>
        <w:spacing w:line="200" w:lineRule="exact"/>
        <w:rPr>
          <w:sz w:val="20"/>
          <w:szCs w:val="20"/>
          <w:lang w:val="en-US"/>
        </w:rPr>
      </w:pPr>
    </w:p>
    <w:p w14:paraId="78AE94F1" w14:textId="77777777" w:rsidR="00EF26BC" w:rsidRPr="00FA315E" w:rsidRDefault="00EF26BC">
      <w:pPr>
        <w:spacing w:line="287" w:lineRule="exact"/>
        <w:rPr>
          <w:sz w:val="20"/>
          <w:szCs w:val="20"/>
          <w:lang w:val="en-US"/>
        </w:rPr>
      </w:pPr>
    </w:p>
    <w:p w14:paraId="78AE94F2" w14:textId="77777777" w:rsidR="00EF26BC" w:rsidRDefault="00343DF1">
      <w:pPr>
        <w:ind w:left="820"/>
        <w:rPr>
          <w:sz w:val="20"/>
          <w:szCs w:val="20"/>
        </w:rPr>
      </w:pPr>
      <w:r>
        <w:rPr>
          <w:rFonts w:ascii="Arial" w:eastAsia="Arial" w:hAnsi="Arial" w:cs="Arial"/>
          <w:b/>
          <w:bCs/>
          <w:sz w:val="24"/>
          <w:szCs w:val="24"/>
        </w:rPr>
        <w:t>INTRODUCCIÓN</w:t>
      </w:r>
    </w:p>
    <w:p w14:paraId="78AE94F3" w14:textId="77777777" w:rsidR="00EF26BC" w:rsidRDefault="00EF26BC">
      <w:pPr>
        <w:spacing w:line="190" w:lineRule="exact"/>
        <w:rPr>
          <w:sz w:val="20"/>
          <w:szCs w:val="20"/>
        </w:rPr>
      </w:pPr>
    </w:p>
    <w:p w14:paraId="78AE94F4" w14:textId="77777777" w:rsidR="00EF26BC" w:rsidRDefault="00343DF1">
      <w:pPr>
        <w:spacing w:line="258" w:lineRule="auto"/>
        <w:ind w:left="820" w:right="1700"/>
        <w:jc w:val="both"/>
        <w:rPr>
          <w:sz w:val="20"/>
          <w:szCs w:val="20"/>
        </w:rPr>
      </w:pPr>
      <w:r>
        <w:rPr>
          <w:rFonts w:eastAsia="Times New Roman"/>
          <w:sz w:val="23"/>
          <w:szCs w:val="23"/>
        </w:rPr>
        <w:t>Para iniciar la reflexión sobre la violencia contra las mujeres y el femicidio como su máxima expresión, tal y como lo plantea Samara de las Heras (2009), debemos tomar como puntos de parti</w:t>
      </w:r>
      <w:r>
        <w:rPr>
          <w:rFonts w:eastAsia="Times New Roman"/>
          <w:sz w:val="23"/>
          <w:szCs w:val="23"/>
        </w:rPr>
        <w:t>da no solo el redescubrimiento de la historia de las mujeres, de las reivindicaciones y logros obtenidos a lo largo del tiempo, sino de su situación en la sociedad, porque el primer paso para erradicar el sistema de sumisión y obediencia que las subyuga, e</w:t>
      </w:r>
      <w:r>
        <w:rPr>
          <w:rFonts w:eastAsia="Times New Roman"/>
          <w:sz w:val="23"/>
          <w:szCs w:val="23"/>
        </w:rPr>
        <w:t>s tomar conciencia de cómo se produce y cómo las afecta para, posteriormente, definir la estrategia para erradicarlo.</w:t>
      </w:r>
    </w:p>
    <w:p w14:paraId="78AE94F5" w14:textId="77777777" w:rsidR="00EF26BC" w:rsidRDefault="00EF26BC">
      <w:pPr>
        <w:spacing w:line="141" w:lineRule="exact"/>
        <w:rPr>
          <w:sz w:val="20"/>
          <w:szCs w:val="20"/>
        </w:rPr>
      </w:pPr>
    </w:p>
    <w:p w14:paraId="78AE94F6" w14:textId="77777777" w:rsidR="00EF26BC" w:rsidRDefault="00343DF1">
      <w:pPr>
        <w:spacing w:line="249" w:lineRule="auto"/>
        <w:ind w:left="820" w:right="1700"/>
        <w:jc w:val="both"/>
        <w:rPr>
          <w:sz w:val="20"/>
          <w:szCs w:val="20"/>
        </w:rPr>
      </w:pPr>
      <w:r>
        <w:rPr>
          <w:rFonts w:eastAsia="Times New Roman"/>
          <w:sz w:val="24"/>
          <w:szCs w:val="24"/>
        </w:rPr>
        <w:t xml:space="preserve">El patriarcado es la manifestación e institucionalización del dominio masculino sobre las mujeres, niños y niñas en la familia, </w:t>
      </w:r>
      <w:r>
        <w:rPr>
          <w:rFonts w:eastAsia="Times New Roman"/>
          <w:sz w:val="24"/>
          <w:szCs w:val="24"/>
        </w:rPr>
        <w:t>dominio que se extiende a todos los espacios sociales; es una toma de poder histórica por parte de los hombres sobre las mujeres, cuyo mecanismo legitimador es el orden biológico, pero elevado a la categoría política y económica.</w:t>
      </w:r>
    </w:p>
    <w:p w14:paraId="78AE94F7" w14:textId="77777777" w:rsidR="00EF26BC" w:rsidRDefault="00EF26BC">
      <w:pPr>
        <w:spacing w:line="148" w:lineRule="exact"/>
        <w:rPr>
          <w:sz w:val="20"/>
          <w:szCs w:val="20"/>
        </w:rPr>
      </w:pPr>
    </w:p>
    <w:p w14:paraId="78AE94F8" w14:textId="77777777" w:rsidR="00EF26BC" w:rsidRDefault="00343DF1">
      <w:pPr>
        <w:spacing w:line="247" w:lineRule="auto"/>
        <w:ind w:left="820" w:right="1700"/>
        <w:jc w:val="both"/>
        <w:rPr>
          <w:sz w:val="20"/>
          <w:szCs w:val="20"/>
        </w:rPr>
      </w:pPr>
      <w:r>
        <w:rPr>
          <w:rFonts w:eastAsia="Times New Roman"/>
          <w:sz w:val="24"/>
          <w:szCs w:val="24"/>
        </w:rPr>
        <w:t xml:space="preserve">Para Alda Facio y Lorena </w:t>
      </w:r>
      <w:r>
        <w:rPr>
          <w:rFonts w:eastAsia="Times New Roman"/>
          <w:sz w:val="24"/>
          <w:szCs w:val="24"/>
        </w:rPr>
        <w:t>Fries (1999) este pensamiento dicotómico, jerarquizado y sexualizado, divide todo en hechos de la naturaleza o de la cultura, al situar al hombre y lo masculino bajo la segunda categoría, y a la mujer y lo femenino bajo la primera, erige al hombre en parám</w:t>
      </w:r>
      <w:r>
        <w:rPr>
          <w:rFonts w:eastAsia="Times New Roman"/>
          <w:sz w:val="24"/>
          <w:szCs w:val="24"/>
        </w:rPr>
        <w:t>etro o paradigma de lo humano, al tiempo que justifica la subordinación de las mujeres en función de sus pretendidos “roles naturales”.</w:t>
      </w:r>
    </w:p>
    <w:p w14:paraId="78AE94F9" w14:textId="77777777" w:rsidR="00EF26BC" w:rsidRDefault="00EF26BC">
      <w:pPr>
        <w:spacing w:line="153" w:lineRule="exact"/>
        <w:rPr>
          <w:sz w:val="20"/>
          <w:szCs w:val="20"/>
        </w:rPr>
      </w:pPr>
    </w:p>
    <w:p w14:paraId="78AE94FA" w14:textId="77777777" w:rsidR="00EF26BC" w:rsidRDefault="00343DF1">
      <w:pPr>
        <w:spacing w:line="276" w:lineRule="auto"/>
        <w:ind w:left="820" w:right="1700"/>
        <w:jc w:val="both"/>
        <w:rPr>
          <w:sz w:val="20"/>
          <w:szCs w:val="20"/>
        </w:rPr>
      </w:pPr>
      <w:r>
        <w:rPr>
          <w:rFonts w:eastAsia="Times New Roman"/>
          <w:sz w:val="24"/>
          <w:szCs w:val="24"/>
        </w:rPr>
        <w:t>La sociedad patriarcal ha instaurado una dinámica de subordinación, que se percibe como normal y que, además, establece</w:t>
      </w:r>
      <w:r>
        <w:rPr>
          <w:rFonts w:eastAsia="Times New Roman"/>
          <w:sz w:val="24"/>
          <w:szCs w:val="24"/>
        </w:rPr>
        <w:t xml:space="preserve"> formas de relación que devienen</w:t>
      </w:r>
    </w:p>
    <w:p w14:paraId="78AE94FB" w14:textId="77777777" w:rsidR="00EF26BC" w:rsidRDefault="00EF26BC">
      <w:pPr>
        <w:spacing w:line="200" w:lineRule="exact"/>
        <w:rPr>
          <w:sz w:val="20"/>
          <w:szCs w:val="20"/>
        </w:rPr>
      </w:pPr>
    </w:p>
    <w:p w14:paraId="78AE94FC" w14:textId="77777777" w:rsidR="00EF26BC" w:rsidRDefault="00EF26BC">
      <w:pPr>
        <w:spacing w:line="233"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460"/>
        <w:gridCol w:w="20"/>
      </w:tblGrid>
      <w:tr w:rsidR="00EF26BC" w14:paraId="78AE9500" w14:textId="77777777">
        <w:trPr>
          <w:trHeight w:val="240"/>
        </w:trPr>
        <w:tc>
          <w:tcPr>
            <w:tcW w:w="6940" w:type="dxa"/>
            <w:vAlign w:val="bottom"/>
          </w:tcPr>
          <w:p w14:paraId="78AE94FD"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4FE" w14:textId="77777777" w:rsidR="00EF26BC" w:rsidRDefault="00343DF1">
            <w:pPr>
              <w:jc w:val="right"/>
              <w:rPr>
                <w:sz w:val="20"/>
                <w:szCs w:val="20"/>
              </w:rPr>
            </w:pPr>
            <w:r>
              <w:rPr>
                <w:rFonts w:ascii="Arial" w:eastAsia="Arial" w:hAnsi="Arial" w:cs="Arial"/>
              </w:rPr>
              <w:t>90</w:t>
            </w:r>
          </w:p>
        </w:tc>
        <w:tc>
          <w:tcPr>
            <w:tcW w:w="0" w:type="dxa"/>
            <w:vAlign w:val="bottom"/>
          </w:tcPr>
          <w:p w14:paraId="78AE94FF" w14:textId="77777777" w:rsidR="00EF26BC" w:rsidRDefault="00EF26BC">
            <w:pPr>
              <w:rPr>
                <w:sz w:val="1"/>
                <w:szCs w:val="1"/>
              </w:rPr>
            </w:pPr>
          </w:p>
        </w:tc>
      </w:tr>
      <w:tr w:rsidR="00EF26BC" w14:paraId="78AE9504" w14:textId="77777777">
        <w:trPr>
          <w:trHeight w:val="270"/>
        </w:trPr>
        <w:tc>
          <w:tcPr>
            <w:tcW w:w="6940" w:type="dxa"/>
            <w:vAlign w:val="bottom"/>
          </w:tcPr>
          <w:p w14:paraId="78AE9501"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502" w14:textId="77777777" w:rsidR="00EF26BC" w:rsidRDefault="00EF26BC">
            <w:pPr>
              <w:rPr>
                <w:sz w:val="23"/>
                <w:szCs w:val="23"/>
              </w:rPr>
            </w:pPr>
          </w:p>
        </w:tc>
        <w:tc>
          <w:tcPr>
            <w:tcW w:w="0" w:type="dxa"/>
            <w:vAlign w:val="bottom"/>
          </w:tcPr>
          <w:p w14:paraId="78AE9503" w14:textId="77777777" w:rsidR="00EF26BC" w:rsidRDefault="00EF26BC">
            <w:pPr>
              <w:rPr>
                <w:sz w:val="1"/>
                <w:szCs w:val="1"/>
              </w:rPr>
            </w:pPr>
          </w:p>
        </w:tc>
      </w:tr>
    </w:tbl>
    <w:p w14:paraId="78AE9505" w14:textId="77777777" w:rsidR="00EF26BC" w:rsidRDefault="00EF26BC">
      <w:pPr>
        <w:sectPr w:rsidR="00EF26BC">
          <w:pgSz w:w="12240" w:h="15840"/>
          <w:pgMar w:top="714" w:right="580" w:bottom="112" w:left="1440" w:header="0" w:footer="0" w:gutter="0"/>
          <w:cols w:space="720" w:equalWidth="0">
            <w:col w:w="10220"/>
          </w:cols>
        </w:sectPr>
      </w:pPr>
    </w:p>
    <w:p w14:paraId="78AE9506" w14:textId="77777777" w:rsidR="00EF26BC" w:rsidRDefault="00343DF1">
      <w:pPr>
        <w:ind w:left="2960"/>
        <w:rPr>
          <w:sz w:val="20"/>
          <w:szCs w:val="20"/>
        </w:rPr>
      </w:pPr>
      <w:bookmarkStart w:id="2" w:name="page3"/>
      <w:bookmarkEnd w:id="2"/>
      <w:r>
        <w:rPr>
          <w:rFonts w:ascii="Arial" w:eastAsia="Arial" w:hAnsi="Arial" w:cs="Arial"/>
          <w:sz w:val="20"/>
          <w:szCs w:val="20"/>
        </w:rPr>
        <w:lastRenderedPageBreak/>
        <w:t>Violencia contra las mujeres y femicidio</w:t>
      </w:r>
    </w:p>
    <w:p w14:paraId="78AE9507" w14:textId="77777777" w:rsidR="00EF26BC" w:rsidRDefault="00EF26BC">
      <w:pPr>
        <w:spacing w:line="200" w:lineRule="exact"/>
        <w:rPr>
          <w:sz w:val="20"/>
          <w:szCs w:val="20"/>
        </w:rPr>
      </w:pPr>
    </w:p>
    <w:p w14:paraId="78AE9508" w14:textId="77777777" w:rsidR="00EF26BC" w:rsidRDefault="00EF26BC">
      <w:pPr>
        <w:spacing w:line="331" w:lineRule="exact"/>
        <w:rPr>
          <w:sz w:val="20"/>
          <w:szCs w:val="20"/>
        </w:rPr>
      </w:pPr>
    </w:p>
    <w:p w14:paraId="78AE9509" w14:textId="77777777" w:rsidR="00EF26BC" w:rsidRDefault="00343DF1">
      <w:pPr>
        <w:ind w:left="820"/>
        <w:rPr>
          <w:sz w:val="20"/>
          <w:szCs w:val="20"/>
        </w:rPr>
      </w:pPr>
      <w:r>
        <w:rPr>
          <w:rFonts w:eastAsia="Times New Roman"/>
          <w:sz w:val="24"/>
          <w:szCs w:val="24"/>
        </w:rPr>
        <w:t xml:space="preserve">del deber ser/hacer del </w:t>
      </w:r>
      <w:r>
        <w:rPr>
          <w:rFonts w:eastAsia="Times New Roman"/>
          <w:sz w:val="24"/>
          <w:szCs w:val="24"/>
        </w:rPr>
        <w:t>comportamiento individual y las estructuras sociales,</w:t>
      </w:r>
    </w:p>
    <w:p w14:paraId="78AE950A" w14:textId="77777777" w:rsidR="00EF26BC" w:rsidRDefault="00EF26BC">
      <w:pPr>
        <w:spacing w:line="36" w:lineRule="exact"/>
        <w:rPr>
          <w:sz w:val="20"/>
          <w:szCs w:val="20"/>
        </w:rPr>
      </w:pPr>
    </w:p>
    <w:p w14:paraId="78AE950B" w14:textId="77777777" w:rsidR="00EF26BC" w:rsidRDefault="00343DF1">
      <w:pPr>
        <w:ind w:left="820"/>
        <w:rPr>
          <w:sz w:val="20"/>
          <w:szCs w:val="20"/>
        </w:rPr>
      </w:pPr>
      <w:r>
        <w:rPr>
          <w:rFonts w:eastAsia="Times New Roman"/>
          <w:sz w:val="24"/>
          <w:szCs w:val="24"/>
        </w:rPr>
        <w:t>Janet Saltzman (1992) indica que se expresa en:</w:t>
      </w:r>
    </w:p>
    <w:p w14:paraId="78AE950C" w14:textId="77777777" w:rsidR="00EF26BC" w:rsidRDefault="00EF26BC">
      <w:pPr>
        <w:spacing w:line="184" w:lineRule="exact"/>
        <w:rPr>
          <w:sz w:val="20"/>
          <w:szCs w:val="20"/>
        </w:rPr>
      </w:pPr>
    </w:p>
    <w:p w14:paraId="78AE950D" w14:textId="77777777" w:rsidR="00EF26BC" w:rsidRDefault="00343DF1">
      <w:pPr>
        <w:numPr>
          <w:ilvl w:val="0"/>
          <w:numId w:val="1"/>
        </w:numPr>
        <w:tabs>
          <w:tab w:val="left" w:pos="1180"/>
        </w:tabs>
        <w:spacing w:line="251" w:lineRule="auto"/>
        <w:ind w:left="1180" w:right="1680" w:hanging="354"/>
        <w:jc w:val="both"/>
        <w:rPr>
          <w:rFonts w:ascii="Arial" w:eastAsia="Arial" w:hAnsi="Arial" w:cs="Arial"/>
          <w:sz w:val="24"/>
          <w:szCs w:val="24"/>
        </w:rPr>
      </w:pPr>
      <w:r>
        <w:rPr>
          <w:rFonts w:eastAsia="Times New Roman"/>
          <w:sz w:val="24"/>
          <w:szCs w:val="24"/>
        </w:rPr>
        <w:t xml:space="preserve">Una ideología de la discriminación contra las mujeres, sin importar la etnia, clase social, orientación sexual, regiones, tipos de familia, entre </w:t>
      </w:r>
      <w:r>
        <w:rPr>
          <w:rFonts w:eastAsia="Times New Roman"/>
          <w:sz w:val="24"/>
          <w:szCs w:val="24"/>
        </w:rPr>
        <w:t>muchas otras diferencias; todas las mujeres comparten una historia de exclusión y el no poder ejercer ciertos derechos.</w:t>
      </w:r>
    </w:p>
    <w:p w14:paraId="78AE950E" w14:textId="77777777" w:rsidR="00EF26BC" w:rsidRDefault="00EF26BC">
      <w:pPr>
        <w:spacing w:line="164" w:lineRule="exact"/>
        <w:rPr>
          <w:rFonts w:ascii="Arial" w:eastAsia="Arial" w:hAnsi="Arial" w:cs="Arial"/>
          <w:sz w:val="24"/>
          <w:szCs w:val="24"/>
        </w:rPr>
      </w:pPr>
    </w:p>
    <w:p w14:paraId="78AE950F" w14:textId="77777777" w:rsidR="00EF26BC" w:rsidRDefault="00343DF1">
      <w:pPr>
        <w:numPr>
          <w:ilvl w:val="0"/>
          <w:numId w:val="1"/>
        </w:numPr>
        <w:tabs>
          <w:tab w:val="left" w:pos="1180"/>
        </w:tabs>
        <w:spacing w:line="258" w:lineRule="auto"/>
        <w:ind w:left="1180" w:right="1680" w:hanging="354"/>
        <w:jc w:val="both"/>
        <w:rPr>
          <w:rFonts w:ascii="Arial" w:eastAsia="Arial" w:hAnsi="Arial" w:cs="Arial"/>
          <w:sz w:val="24"/>
          <w:szCs w:val="24"/>
        </w:rPr>
      </w:pPr>
      <w:r>
        <w:rPr>
          <w:rFonts w:eastAsia="Times New Roman"/>
          <w:sz w:val="24"/>
          <w:szCs w:val="24"/>
        </w:rPr>
        <w:t xml:space="preserve">El lenguaje que abiertamente desvaloriza a las mujeres, sus roles, sus labores, sus productos y su entorno social, menos prestigio y/o </w:t>
      </w:r>
      <w:r>
        <w:rPr>
          <w:rFonts w:eastAsia="Times New Roman"/>
          <w:sz w:val="24"/>
          <w:szCs w:val="24"/>
        </w:rPr>
        <w:t>poder que el que se les da a los hombres.</w:t>
      </w:r>
    </w:p>
    <w:p w14:paraId="78AE9510" w14:textId="77777777" w:rsidR="00EF26BC" w:rsidRDefault="00EF26BC">
      <w:pPr>
        <w:spacing w:line="155" w:lineRule="exact"/>
        <w:rPr>
          <w:rFonts w:ascii="Arial" w:eastAsia="Arial" w:hAnsi="Arial" w:cs="Arial"/>
          <w:sz w:val="24"/>
          <w:szCs w:val="24"/>
        </w:rPr>
      </w:pPr>
    </w:p>
    <w:p w14:paraId="78AE9511" w14:textId="77777777" w:rsidR="00EF26BC" w:rsidRDefault="00343DF1">
      <w:pPr>
        <w:numPr>
          <w:ilvl w:val="0"/>
          <w:numId w:val="1"/>
        </w:numPr>
        <w:tabs>
          <w:tab w:val="left" w:pos="1180"/>
        </w:tabs>
        <w:spacing w:line="275" w:lineRule="auto"/>
        <w:ind w:left="1180" w:right="1680" w:hanging="354"/>
        <w:rPr>
          <w:rFonts w:ascii="Arial" w:eastAsia="Arial" w:hAnsi="Arial" w:cs="Arial"/>
          <w:sz w:val="24"/>
          <w:szCs w:val="24"/>
        </w:rPr>
      </w:pPr>
      <w:r>
        <w:rPr>
          <w:rFonts w:eastAsia="Times New Roman"/>
          <w:sz w:val="24"/>
          <w:szCs w:val="24"/>
        </w:rPr>
        <w:t>Significados negativos atribuidos a las mujeres y sus actividades a través de hechos simbólicos o mitos, que no siempre se expresan de forma explícita.</w:t>
      </w:r>
    </w:p>
    <w:p w14:paraId="78AE9512" w14:textId="77777777" w:rsidR="00EF26BC" w:rsidRDefault="00EF26BC">
      <w:pPr>
        <w:spacing w:line="134" w:lineRule="exact"/>
        <w:rPr>
          <w:rFonts w:ascii="Arial" w:eastAsia="Arial" w:hAnsi="Arial" w:cs="Arial"/>
          <w:sz w:val="24"/>
          <w:szCs w:val="24"/>
        </w:rPr>
      </w:pPr>
    </w:p>
    <w:p w14:paraId="78AE9513" w14:textId="77777777" w:rsidR="00EF26BC" w:rsidRDefault="00343DF1">
      <w:pPr>
        <w:numPr>
          <w:ilvl w:val="0"/>
          <w:numId w:val="1"/>
        </w:numPr>
        <w:tabs>
          <w:tab w:val="left" w:pos="1180"/>
        </w:tabs>
        <w:spacing w:line="251" w:lineRule="auto"/>
        <w:ind w:left="1180" w:right="1680" w:hanging="354"/>
        <w:jc w:val="both"/>
        <w:rPr>
          <w:rFonts w:ascii="Arial" w:eastAsia="Arial" w:hAnsi="Arial" w:cs="Arial"/>
          <w:sz w:val="24"/>
          <w:szCs w:val="24"/>
        </w:rPr>
      </w:pPr>
      <w:r>
        <w:rPr>
          <w:rFonts w:eastAsia="Times New Roman"/>
          <w:sz w:val="24"/>
          <w:szCs w:val="24"/>
        </w:rPr>
        <w:t>Estructuras que excluyen a las mujeres de la participación o</w:t>
      </w:r>
      <w:r>
        <w:rPr>
          <w:rFonts w:eastAsia="Times New Roman"/>
          <w:sz w:val="24"/>
          <w:szCs w:val="24"/>
        </w:rPr>
        <w:t xml:space="preserve"> el contacto con los espacios de poder, los hombres tienen el dominio en todas las instituciones importantes de la sociedad, en lo económico, lo político y lo cultural.</w:t>
      </w:r>
    </w:p>
    <w:p w14:paraId="78AE9514" w14:textId="77777777" w:rsidR="00EF26BC" w:rsidRDefault="00EF26BC">
      <w:pPr>
        <w:spacing w:line="150" w:lineRule="exact"/>
        <w:rPr>
          <w:sz w:val="20"/>
          <w:szCs w:val="20"/>
        </w:rPr>
      </w:pPr>
    </w:p>
    <w:p w14:paraId="78AE9515" w14:textId="77777777" w:rsidR="00EF26BC" w:rsidRDefault="00343DF1">
      <w:pPr>
        <w:spacing w:line="247" w:lineRule="auto"/>
        <w:ind w:left="820" w:right="1680"/>
        <w:jc w:val="both"/>
        <w:rPr>
          <w:sz w:val="20"/>
          <w:szCs w:val="20"/>
        </w:rPr>
      </w:pPr>
      <w:r>
        <w:rPr>
          <w:rFonts w:eastAsia="Times New Roman"/>
          <w:sz w:val="24"/>
          <w:szCs w:val="24"/>
        </w:rPr>
        <w:t>El dominio de los hombres sobre las mujeres tiene lugar mediante un mecanismo doble, e</w:t>
      </w:r>
      <w:r>
        <w:rPr>
          <w:rFonts w:eastAsia="Times New Roman"/>
          <w:sz w:val="24"/>
          <w:szCs w:val="24"/>
        </w:rPr>
        <w:t xml:space="preserve">l control de las funciones sexuales y reproductoras, que se refuerza al restringir el ámbito de las tareas productivas al que tiene acceso y, a su vez, la prohibición de las tareas que se le imponen a las mujeres queda reforzadas por el hecho de que están </w:t>
      </w:r>
      <w:r>
        <w:rPr>
          <w:rFonts w:eastAsia="Times New Roman"/>
          <w:sz w:val="24"/>
          <w:szCs w:val="24"/>
        </w:rPr>
        <w:t>controladas por su inserción en las estructuras del parentesco (Rubin,1986).</w:t>
      </w:r>
    </w:p>
    <w:p w14:paraId="78AE9516" w14:textId="77777777" w:rsidR="00EF26BC" w:rsidRDefault="00EF26BC">
      <w:pPr>
        <w:spacing w:line="149" w:lineRule="exact"/>
        <w:rPr>
          <w:sz w:val="20"/>
          <w:szCs w:val="20"/>
        </w:rPr>
      </w:pPr>
    </w:p>
    <w:p w14:paraId="78AE9517" w14:textId="77777777" w:rsidR="00EF26BC" w:rsidRDefault="00343DF1">
      <w:pPr>
        <w:spacing w:line="245" w:lineRule="auto"/>
        <w:ind w:left="820" w:right="1680"/>
        <w:jc w:val="both"/>
        <w:rPr>
          <w:sz w:val="20"/>
          <w:szCs w:val="20"/>
        </w:rPr>
      </w:pPr>
      <w:r>
        <w:rPr>
          <w:rFonts w:eastAsia="Times New Roman"/>
          <w:sz w:val="24"/>
          <w:szCs w:val="24"/>
        </w:rPr>
        <w:t xml:space="preserve">John Stuart Mill (citado por Amorós, 2005) afirmó que los grupos oprimidos expresan sus resentimientos por los abusos del poder que sufren antes de cuestionarse las bases </w:t>
      </w:r>
      <w:r>
        <w:rPr>
          <w:rFonts w:eastAsia="Times New Roman"/>
          <w:sz w:val="24"/>
          <w:szCs w:val="24"/>
        </w:rPr>
        <w:t>mismas de la legitimidad de este poder, en esta lógica, la desigualdad y la violencia contra las mujeres se ha sustentado en argumentos de autoridad, tradición, normalización, costumbre, pero es poco cuestionada la estructura patriarcal misma; es decir, se</w:t>
      </w:r>
      <w:r>
        <w:rPr>
          <w:rFonts w:eastAsia="Times New Roman"/>
          <w:sz w:val="24"/>
          <w:szCs w:val="24"/>
        </w:rPr>
        <w:t xml:space="preserve"> explica desde lo cultural, pero no se aborda lo estructural y como esto tiene implicaciones directas en un ejercicio violento del poder contra las mujeres en todas las esfera de la vida.</w:t>
      </w:r>
    </w:p>
    <w:p w14:paraId="78AE9518" w14:textId="77777777" w:rsidR="00EF26BC" w:rsidRDefault="00EF26BC">
      <w:pPr>
        <w:spacing w:line="156" w:lineRule="exact"/>
        <w:rPr>
          <w:sz w:val="20"/>
          <w:szCs w:val="20"/>
        </w:rPr>
      </w:pPr>
    </w:p>
    <w:p w14:paraId="78AE9519" w14:textId="77777777" w:rsidR="00EF26BC" w:rsidRDefault="00343DF1">
      <w:pPr>
        <w:spacing w:line="252" w:lineRule="auto"/>
        <w:ind w:left="820" w:right="1680"/>
        <w:jc w:val="both"/>
        <w:rPr>
          <w:sz w:val="20"/>
          <w:szCs w:val="20"/>
        </w:rPr>
      </w:pPr>
      <w:r>
        <w:rPr>
          <w:rFonts w:eastAsia="Times New Roman"/>
          <w:sz w:val="24"/>
          <w:szCs w:val="24"/>
        </w:rPr>
        <w:t xml:space="preserve">El referente teórico del concepto más elemental de poder es lo que </w:t>
      </w:r>
      <w:r>
        <w:rPr>
          <w:rFonts w:eastAsia="Times New Roman"/>
          <w:sz w:val="24"/>
          <w:szCs w:val="24"/>
        </w:rPr>
        <w:t xml:space="preserve">denominó Max Weber </w:t>
      </w:r>
      <w:r>
        <w:rPr>
          <w:rFonts w:eastAsia="Times New Roman"/>
          <w:i/>
          <w:iCs/>
          <w:sz w:val="24"/>
          <w:szCs w:val="24"/>
        </w:rPr>
        <w:t>Herrshaft,</w:t>
      </w:r>
      <w:r>
        <w:rPr>
          <w:rFonts w:eastAsia="Times New Roman"/>
          <w:sz w:val="24"/>
          <w:szCs w:val="24"/>
        </w:rPr>
        <w:t xml:space="preserve"> es decir, “relación de dominio y subordinación” (Amorós, 2005), en este sentido, el sistema patriarcal, ejerce este poder por medio de la diferenciación de género que ordena:</w:t>
      </w:r>
    </w:p>
    <w:p w14:paraId="78AE951A" w14:textId="77777777" w:rsidR="00EF26BC" w:rsidRDefault="00EF26BC">
      <w:pPr>
        <w:spacing w:line="142" w:lineRule="exact"/>
        <w:rPr>
          <w:sz w:val="20"/>
          <w:szCs w:val="20"/>
        </w:rPr>
      </w:pPr>
    </w:p>
    <w:p w14:paraId="78AE951B" w14:textId="77777777" w:rsidR="00EF26BC" w:rsidRDefault="00343DF1">
      <w:pPr>
        <w:numPr>
          <w:ilvl w:val="0"/>
          <w:numId w:val="2"/>
        </w:numPr>
        <w:tabs>
          <w:tab w:val="left" w:pos="1180"/>
        </w:tabs>
        <w:spacing w:line="280" w:lineRule="auto"/>
        <w:ind w:left="1180" w:right="1680" w:hanging="354"/>
        <w:rPr>
          <w:rFonts w:eastAsia="Times New Roman"/>
          <w:sz w:val="24"/>
          <w:szCs w:val="24"/>
        </w:rPr>
      </w:pPr>
      <w:r>
        <w:rPr>
          <w:rFonts w:eastAsia="Times New Roman"/>
          <w:sz w:val="24"/>
          <w:szCs w:val="24"/>
        </w:rPr>
        <w:t xml:space="preserve">La sexualidad, es decir, el intercambio erótico y </w:t>
      </w:r>
      <w:r>
        <w:rPr>
          <w:rFonts w:eastAsia="Times New Roman"/>
          <w:sz w:val="24"/>
          <w:szCs w:val="24"/>
        </w:rPr>
        <w:t>la posibilidad de acceso sexual.</w:t>
      </w:r>
    </w:p>
    <w:p w14:paraId="78AE951C" w14:textId="77777777" w:rsidR="00EF26BC" w:rsidRDefault="00EF26BC">
      <w:pPr>
        <w:spacing w:line="109" w:lineRule="exact"/>
        <w:rPr>
          <w:rFonts w:eastAsia="Times New Roman"/>
          <w:sz w:val="24"/>
          <w:szCs w:val="24"/>
        </w:rPr>
      </w:pPr>
    </w:p>
    <w:p w14:paraId="78AE951D" w14:textId="77777777" w:rsidR="00EF26BC" w:rsidRDefault="00343DF1">
      <w:pPr>
        <w:numPr>
          <w:ilvl w:val="0"/>
          <w:numId w:val="2"/>
        </w:numPr>
        <w:tabs>
          <w:tab w:val="left" w:pos="1180"/>
        </w:tabs>
        <w:ind w:left="1180" w:hanging="354"/>
        <w:rPr>
          <w:rFonts w:eastAsia="Times New Roman"/>
          <w:sz w:val="24"/>
          <w:szCs w:val="24"/>
        </w:rPr>
      </w:pPr>
      <w:r>
        <w:rPr>
          <w:rFonts w:eastAsia="Times New Roman"/>
          <w:sz w:val="24"/>
          <w:szCs w:val="24"/>
        </w:rPr>
        <w:t>La reproducción humana.</w:t>
      </w:r>
    </w:p>
    <w:p w14:paraId="78AE951E" w14:textId="77777777" w:rsidR="00EF26BC" w:rsidRDefault="00EF26BC">
      <w:pPr>
        <w:spacing w:line="199" w:lineRule="exact"/>
        <w:rPr>
          <w:rFonts w:eastAsia="Times New Roman"/>
          <w:sz w:val="24"/>
          <w:szCs w:val="24"/>
        </w:rPr>
      </w:pPr>
    </w:p>
    <w:p w14:paraId="78AE951F" w14:textId="77777777" w:rsidR="00EF26BC" w:rsidRDefault="00343DF1">
      <w:pPr>
        <w:numPr>
          <w:ilvl w:val="0"/>
          <w:numId w:val="2"/>
        </w:numPr>
        <w:tabs>
          <w:tab w:val="left" w:pos="1180"/>
        </w:tabs>
        <w:ind w:left="1180" w:hanging="354"/>
        <w:rPr>
          <w:rFonts w:eastAsia="Times New Roman"/>
          <w:sz w:val="24"/>
          <w:szCs w:val="24"/>
        </w:rPr>
      </w:pPr>
      <w:r>
        <w:rPr>
          <w:rFonts w:eastAsia="Times New Roman"/>
          <w:sz w:val="24"/>
          <w:szCs w:val="24"/>
        </w:rPr>
        <w:t>La división sexual del trabajo.</w:t>
      </w:r>
    </w:p>
    <w:p w14:paraId="78AE9520" w14:textId="77777777" w:rsidR="00EF26BC" w:rsidRDefault="00EF26BC">
      <w:pPr>
        <w:spacing w:line="199" w:lineRule="exact"/>
        <w:rPr>
          <w:rFonts w:eastAsia="Times New Roman"/>
          <w:sz w:val="24"/>
          <w:szCs w:val="24"/>
        </w:rPr>
      </w:pPr>
    </w:p>
    <w:p w14:paraId="78AE9521" w14:textId="77777777" w:rsidR="00EF26BC" w:rsidRDefault="00343DF1">
      <w:pPr>
        <w:numPr>
          <w:ilvl w:val="0"/>
          <w:numId w:val="2"/>
        </w:numPr>
        <w:tabs>
          <w:tab w:val="left" w:pos="1180"/>
        </w:tabs>
        <w:ind w:left="1180" w:hanging="354"/>
        <w:rPr>
          <w:rFonts w:eastAsia="Times New Roman"/>
          <w:sz w:val="24"/>
          <w:szCs w:val="24"/>
        </w:rPr>
      </w:pPr>
      <w:r>
        <w:rPr>
          <w:rFonts w:eastAsia="Times New Roman"/>
          <w:sz w:val="24"/>
          <w:szCs w:val="24"/>
        </w:rPr>
        <w:t>Todas las relaciones sociales.</w:t>
      </w:r>
    </w:p>
    <w:p w14:paraId="78AE9522" w14:textId="77777777" w:rsidR="00EF26BC" w:rsidRDefault="00EF26BC">
      <w:pPr>
        <w:spacing w:line="200" w:lineRule="exact"/>
        <w:rPr>
          <w:sz w:val="20"/>
          <w:szCs w:val="20"/>
        </w:rPr>
      </w:pPr>
    </w:p>
    <w:p w14:paraId="78AE9523" w14:textId="77777777" w:rsidR="00EF26BC" w:rsidRDefault="00EF26BC">
      <w:pPr>
        <w:spacing w:line="223"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460"/>
        <w:gridCol w:w="20"/>
      </w:tblGrid>
      <w:tr w:rsidR="00EF26BC" w14:paraId="78AE9527" w14:textId="77777777">
        <w:trPr>
          <w:trHeight w:val="240"/>
        </w:trPr>
        <w:tc>
          <w:tcPr>
            <w:tcW w:w="6920" w:type="dxa"/>
            <w:vAlign w:val="bottom"/>
          </w:tcPr>
          <w:p w14:paraId="78AE9524"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25" w14:textId="77777777" w:rsidR="00EF26BC" w:rsidRDefault="00343DF1">
            <w:pPr>
              <w:jc w:val="right"/>
              <w:rPr>
                <w:sz w:val="20"/>
                <w:szCs w:val="20"/>
              </w:rPr>
            </w:pPr>
            <w:r>
              <w:rPr>
                <w:rFonts w:ascii="Arial" w:eastAsia="Arial" w:hAnsi="Arial" w:cs="Arial"/>
              </w:rPr>
              <w:t>91</w:t>
            </w:r>
          </w:p>
        </w:tc>
        <w:tc>
          <w:tcPr>
            <w:tcW w:w="0" w:type="dxa"/>
            <w:vAlign w:val="bottom"/>
          </w:tcPr>
          <w:p w14:paraId="78AE9526" w14:textId="77777777" w:rsidR="00EF26BC" w:rsidRDefault="00EF26BC">
            <w:pPr>
              <w:rPr>
                <w:sz w:val="1"/>
                <w:szCs w:val="1"/>
              </w:rPr>
            </w:pPr>
          </w:p>
        </w:tc>
      </w:tr>
      <w:tr w:rsidR="00EF26BC" w14:paraId="78AE952B" w14:textId="77777777">
        <w:trPr>
          <w:trHeight w:val="260"/>
        </w:trPr>
        <w:tc>
          <w:tcPr>
            <w:tcW w:w="6920" w:type="dxa"/>
            <w:vAlign w:val="bottom"/>
          </w:tcPr>
          <w:p w14:paraId="78AE9528"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529" w14:textId="77777777" w:rsidR="00EF26BC" w:rsidRDefault="00EF26BC"/>
        </w:tc>
        <w:tc>
          <w:tcPr>
            <w:tcW w:w="0" w:type="dxa"/>
            <w:vAlign w:val="bottom"/>
          </w:tcPr>
          <w:p w14:paraId="78AE952A" w14:textId="77777777" w:rsidR="00EF26BC" w:rsidRDefault="00EF26BC">
            <w:pPr>
              <w:rPr>
                <w:sz w:val="1"/>
                <w:szCs w:val="1"/>
              </w:rPr>
            </w:pPr>
          </w:p>
        </w:tc>
      </w:tr>
    </w:tbl>
    <w:p w14:paraId="78AE952C" w14:textId="77777777" w:rsidR="00EF26BC" w:rsidRDefault="00EF26BC">
      <w:pPr>
        <w:sectPr w:rsidR="00EF26BC">
          <w:pgSz w:w="12240" w:h="15840"/>
          <w:pgMar w:top="714" w:right="600" w:bottom="121" w:left="1440" w:header="0" w:footer="0" w:gutter="0"/>
          <w:cols w:space="720" w:equalWidth="0">
            <w:col w:w="10200"/>
          </w:cols>
        </w:sectPr>
      </w:pPr>
    </w:p>
    <w:p w14:paraId="78AE952D" w14:textId="77777777" w:rsidR="00EF26BC" w:rsidRDefault="00343DF1">
      <w:pPr>
        <w:ind w:left="3700"/>
        <w:rPr>
          <w:sz w:val="20"/>
          <w:szCs w:val="20"/>
        </w:rPr>
      </w:pPr>
      <w:bookmarkStart w:id="3" w:name="page4"/>
      <w:bookmarkEnd w:id="3"/>
      <w:r>
        <w:rPr>
          <w:rFonts w:ascii="Arial" w:eastAsia="Arial" w:hAnsi="Arial" w:cs="Arial"/>
          <w:sz w:val="20"/>
          <w:szCs w:val="20"/>
        </w:rPr>
        <w:lastRenderedPageBreak/>
        <w:t>Marcela Piedra Durán</w:t>
      </w:r>
    </w:p>
    <w:p w14:paraId="78AE952E" w14:textId="77777777" w:rsidR="00EF26BC" w:rsidRDefault="00EF26BC">
      <w:pPr>
        <w:spacing w:line="200" w:lineRule="exact"/>
        <w:rPr>
          <w:sz w:val="20"/>
          <w:szCs w:val="20"/>
        </w:rPr>
      </w:pPr>
    </w:p>
    <w:p w14:paraId="78AE952F" w14:textId="77777777" w:rsidR="00EF26BC" w:rsidRDefault="00EF26BC">
      <w:pPr>
        <w:spacing w:line="331" w:lineRule="exact"/>
        <w:rPr>
          <w:sz w:val="20"/>
          <w:szCs w:val="20"/>
        </w:rPr>
      </w:pPr>
    </w:p>
    <w:p w14:paraId="78AE9530" w14:textId="77777777" w:rsidR="00EF26BC" w:rsidRDefault="00343DF1">
      <w:pPr>
        <w:spacing w:line="246" w:lineRule="auto"/>
        <w:ind w:left="820" w:right="1700"/>
        <w:jc w:val="both"/>
        <w:rPr>
          <w:sz w:val="20"/>
          <w:szCs w:val="20"/>
        </w:rPr>
      </w:pPr>
      <w:r>
        <w:rPr>
          <w:rFonts w:eastAsia="Times New Roman"/>
          <w:sz w:val="24"/>
          <w:szCs w:val="24"/>
        </w:rPr>
        <w:t xml:space="preserve">Esta diferenciación de género se manifieste en el plano estructural (división sexual del trabajo), institucional (en relación con las normas que distribuyen los recursos) y simbólico (relacionado con los </w:t>
      </w:r>
      <w:r>
        <w:rPr>
          <w:rFonts w:eastAsia="Times New Roman"/>
          <w:sz w:val="24"/>
          <w:szCs w:val="24"/>
        </w:rPr>
        <w:t>valores y atributos que se asignan socialmente a lo masculino y a lo femenino). Bourdieu plantea que el orden de las cosas no es un orden natural, sino que es una construcción social, una visión del mundo con la que el hombre satisface su sed de dominio, v</w:t>
      </w:r>
      <w:r>
        <w:rPr>
          <w:rFonts w:eastAsia="Times New Roman"/>
          <w:sz w:val="24"/>
          <w:szCs w:val="24"/>
        </w:rPr>
        <w:t>isión asumida por las propias mujeres, aceptando su subordinación (Bordieu, 2000).</w:t>
      </w:r>
    </w:p>
    <w:p w14:paraId="78AE9531" w14:textId="77777777" w:rsidR="00EF26BC" w:rsidRDefault="00EF26BC">
      <w:pPr>
        <w:spacing w:line="156" w:lineRule="exact"/>
        <w:rPr>
          <w:sz w:val="20"/>
          <w:szCs w:val="20"/>
        </w:rPr>
      </w:pPr>
    </w:p>
    <w:p w14:paraId="78AE9532" w14:textId="77777777" w:rsidR="00EF26BC" w:rsidRDefault="00343DF1">
      <w:pPr>
        <w:spacing w:line="245" w:lineRule="auto"/>
        <w:ind w:left="820" w:right="1700"/>
        <w:jc w:val="both"/>
        <w:rPr>
          <w:sz w:val="20"/>
          <w:szCs w:val="20"/>
        </w:rPr>
      </w:pPr>
      <w:r>
        <w:rPr>
          <w:rFonts w:eastAsia="Times New Roman"/>
          <w:sz w:val="24"/>
          <w:szCs w:val="24"/>
        </w:rPr>
        <w:t xml:space="preserve">El patriarcado gravita, afirma Kate Millet (citada por Amorós, 2005), alrededor de la institución de la familia, que es, simultáneamente, un </w:t>
      </w:r>
      <w:r>
        <w:rPr>
          <w:rFonts w:eastAsia="Times New Roman"/>
          <w:i/>
          <w:iCs/>
          <w:sz w:val="24"/>
          <w:szCs w:val="24"/>
        </w:rPr>
        <w:t>espejo</w:t>
      </w:r>
      <w:r>
        <w:rPr>
          <w:rFonts w:eastAsia="Times New Roman"/>
          <w:sz w:val="24"/>
          <w:szCs w:val="24"/>
        </w:rPr>
        <w:t xml:space="preserve"> de la sociedad y un lazo</w:t>
      </w:r>
      <w:r>
        <w:rPr>
          <w:rFonts w:eastAsia="Times New Roman"/>
          <w:sz w:val="24"/>
          <w:szCs w:val="24"/>
        </w:rPr>
        <w:t xml:space="preserve"> de unión con ella; en otras palabras, constituye una unidad patriarcal dentro del conjunto del patriarcado, que produce y reproduce la relación de dominio y subordinación sobre las mujeres. Perla Haimovich indica que es en el espacio doméstico (privado) d</w:t>
      </w:r>
      <w:r>
        <w:rPr>
          <w:rFonts w:eastAsia="Times New Roman"/>
          <w:sz w:val="24"/>
          <w:szCs w:val="24"/>
        </w:rPr>
        <w:t>onde el hombre puede ejercer poder sobre sus posesiones legítimas, la mujer, niños y niñas (Haimovich, 1990)</w:t>
      </w:r>
    </w:p>
    <w:p w14:paraId="78AE9533" w14:textId="77777777" w:rsidR="00EF26BC" w:rsidRDefault="00EF26BC">
      <w:pPr>
        <w:spacing w:line="159" w:lineRule="exact"/>
        <w:rPr>
          <w:sz w:val="20"/>
          <w:szCs w:val="20"/>
        </w:rPr>
      </w:pPr>
    </w:p>
    <w:p w14:paraId="78AE9534" w14:textId="77777777" w:rsidR="00EF26BC" w:rsidRDefault="00343DF1">
      <w:pPr>
        <w:spacing w:line="244" w:lineRule="auto"/>
        <w:ind w:left="820" w:right="1700"/>
        <w:jc w:val="both"/>
        <w:rPr>
          <w:sz w:val="20"/>
          <w:szCs w:val="20"/>
        </w:rPr>
      </w:pPr>
      <w:r>
        <w:rPr>
          <w:rFonts w:eastAsia="Times New Roman"/>
          <w:sz w:val="24"/>
          <w:szCs w:val="24"/>
        </w:rPr>
        <w:t>Esta institución es, además, funcional al Estado de las sociedades patriarcales, que se relacionan con la ciudadanía a través de los cabezas de fa</w:t>
      </w:r>
      <w:r>
        <w:rPr>
          <w:rFonts w:eastAsia="Times New Roman"/>
          <w:sz w:val="24"/>
          <w:szCs w:val="24"/>
        </w:rPr>
        <w:t>milia (principio de legitimidad), de hecho el triunfo patriarcal es producto de la diferenciación y antagonismo social, la separación entre vida pública y privada y el predominio de las formas verticales y autoritarias dentro de las familias, que favorecie</w:t>
      </w:r>
      <w:r>
        <w:rPr>
          <w:rFonts w:eastAsia="Times New Roman"/>
          <w:sz w:val="24"/>
          <w:szCs w:val="24"/>
        </w:rPr>
        <w:t>ron a los hombres para que se apropiaran del excedente social de producción, cuya protección y trasmisión fue sancionado a través de mecanismos institucionales, tales como la familia y el matrimonio, lo que posibilitó la estructuración de relaciones de des</w:t>
      </w:r>
      <w:r>
        <w:rPr>
          <w:rFonts w:eastAsia="Times New Roman"/>
          <w:sz w:val="24"/>
          <w:szCs w:val="24"/>
        </w:rPr>
        <w:t>igualdad y opresión hacia las mujeres, colocándolas en el ámbito exclusivo de los doméstico (Valenzuela, 2012).</w:t>
      </w:r>
    </w:p>
    <w:p w14:paraId="78AE9535" w14:textId="77777777" w:rsidR="00EF26BC" w:rsidRDefault="00EF26BC">
      <w:pPr>
        <w:spacing w:line="151" w:lineRule="exact"/>
        <w:rPr>
          <w:sz w:val="20"/>
          <w:szCs w:val="20"/>
        </w:rPr>
      </w:pPr>
    </w:p>
    <w:p w14:paraId="78AE9536" w14:textId="77777777" w:rsidR="00EF26BC" w:rsidRDefault="00343DF1">
      <w:pPr>
        <w:spacing w:line="249" w:lineRule="auto"/>
        <w:ind w:left="820" w:right="1700"/>
        <w:jc w:val="both"/>
        <w:rPr>
          <w:sz w:val="20"/>
          <w:szCs w:val="20"/>
        </w:rPr>
      </w:pPr>
      <w:r>
        <w:rPr>
          <w:rFonts w:eastAsia="Times New Roman"/>
          <w:sz w:val="24"/>
          <w:szCs w:val="24"/>
        </w:rPr>
        <w:t>La violencia contra las mujeres resulta inherente al orden patriarcal y su violencia simbólica, que consiste en “(…) un mecanismo de dominación</w:t>
      </w:r>
      <w:r>
        <w:rPr>
          <w:rFonts w:eastAsia="Times New Roman"/>
          <w:sz w:val="24"/>
          <w:szCs w:val="24"/>
        </w:rPr>
        <w:t xml:space="preserve"> y control creador de poderes jerárquicos (poderes simbólicos) que se basan en la eficacia y los efectos de las inclinaciones modeladas por las estructuras de dominación que las producen” (Bourdieu, 2000, p. 58).</w:t>
      </w:r>
    </w:p>
    <w:p w14:paraId="78AE9537" w14:textId="77777777" w:rsidR="00EF26BC" w:rsidRDefault="00EF26BC">
      <w:pPr>
        <w:spacing w:line="148" w:lineRule="exact"/>
        <w:rPr>
          <w:sz w:val="20"/>
          <w:szCs w:val="20"/>
        </w:rPr>
      </w:pPr>
    </w:p>
    <w:p w14:paraId="78AE9538" w14:textId="77777777" w:rsidR="00EF26BC" w:rsidRDefault="00343DF1">
      <w:pPr>
        <w:spacing w:line="243" w:lineRule="auto"/>
        <w:ind w:left="820" w:right="1700"/>
        <w:jc w:val="both"/>
        <w:rPr>
          <w:sz w:val="20"/>
          <w:szCs w:val="20"/>
        </w:rPr>
      </w:pPr>
      <w:r>
        <w:rPr>
          <w:rFonts w:eastAsia="Times New Roman"/>
          <w:sz w:val="24"/>
          <w:szCs w:val="24"/>
        </w:rPr>
        <w:t xml:space="preserve">En este sentido, la violencia estructural </w:t>
      </w:r>
      <w:r>
        <w:rPr>
          <w:rFonts w:eastAsia="Times New Roman"/>
          <w:sz w:val="24"/>
          <w:szCs w:val="24"/>
        </w:rPr>
        <w:t xml:space="preserve">o simbólica “se basa en jerarquías y desigualdades de diferentes índoles que estimulan la opresión de las mujeres, tanto en el ámbito privado como el público” (Piedra y Esquivel, 2012, p.21); lo que genera un fuerte impacto en la vida de las mujeres, ello </w:t>
      </w:r>
      <w:r>
        <w:rPr>
          <w:rFonts w:eastAsia="Times New Roman"/>
          <w:sz w:val="24"/>
          <w:szCs w:val="24"/>
        </w:rPr>
        <w:t xml:space="preserve">principalmente porque se ven expuestas a un ambiente latente cargado de “castigos, mandatos, negociaciones y limitaciones de orden arbitrario” (Aguilar, 2002, p. 189), que condicionan la capacidad de reacción de las mujeres ante situaciones de dominación, </w:t>
      </w:r>
      <w:r>
        <w:rPr>
          <w:rFonts w:eastAsia="Times New Roman"/>
          <w:sz w:val="24"/>
          <w:szCs w:val="24"/>
        </w:rPr>
        <w:t>aunado a la legitimación de esquemas sociales en los que se establecen roles diferenciados de poder entre el hombre y la mujer; siendo esta situación el ejemplo más claro de la violencia simbólica, debido a que establece un orden lógico del mundo que se mo</w:t>
      </w:r>
      <w:r>
        <w:rPr>
          <w:rFonts w:eastAsia="Times New Roman"/>
          <w:sz w:val="24"/>
          <w:szCs w:val="24"/>
        </w:rPr>
        <w:t>ldea a partir de lo masculino y recae como condicionante de lo femenino (Bourdieu, 2000).</w:t>
      </w:r>
    </w:p>
    <w:p w14:paraId="78AE9539" w14:textId="77777777" w:rsidR="00EF26BC" w:rsidRDefault="00EF26BC">
      <w:pPr>
        <w:spacing w:line="200" w:lineRule="exact"/>
        <w:rPr>
          <w:sz w:val="20"/>
          <w:szCs w:val="20"/>
        </w:rPr>
      </w:pPr>
    </w:p>
    <w:p w14:paraId="78AE953A" w14:textId="77777777" w:rsidR="00EF26BC" w:rsidRDefault="00EF26BC">
      <w:pPr>
        <w:spacing w:line="200" w:lineRule="exact"/>
        <w:rPr>
          <w:sz w:val="20"/>
          <w:szCs w:val="20"/>
        </w:rPr>
      </w:pPr>
    </w:p>
    <w:p w14:paraId="78AE953B" w14:textId="77777777" w:rsidR="00EF26BC" w:rsidRDefault="00EF26BC">
      <w:pPr>
        <w:spacing w:line="200" w:lineRule="exact"/>
        <w:rPr>
          <w:sz w:val="20"/>
          <w:szCs w:val="20"/>
        </w:rPr>
      </w:pPr>
    </w:p>
    <w:p w14:paraId="78AE953C" w14:textId="77777777" w:rsidR="00EF26BC" w:rsidRDefault="00EF26BC">
      <w:pPr>
        <w:spacing w:line="200" w:lineRule="exact"/>
        <w:rPr>
          <w:sz w:val="20"/>
          <w:szCs w:val="20"/>
        </w:rPr>
      </w:pPr>
    </w:p>
    <w:p w14:paraId="78AE953D" w14:textId="77777777" w:rsidR="00EF26BC" w:rsidRDefault="00EF26BC">
      <w:pPr>
        <w:spacing w:line="222"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460"/>
        <w:gridCol w:w="20"/>
      </w:tblGrid>
      <w:tr w:rsidR="00EF26BC" w14:paraId="78AE9541" w14:textId="77777777">
        <w:trPr>
          <w:trHeight w:val="240"/>
        </w:trPr>
        <w:tc>
          <w:tcPr>
            <w:tcW w:w="6940" w:type="dxa"/>
            <w:vAlign w:val="bottom"/>
          </w:tcPr>
          <w:p w14:paraId="78AE953E"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3F" w14:textId="77777777" w:rsidR="00EF26BC" w:rsidRDefault="00343DF1">
            <w:pPr>
              <w:jc w:val="right"/>
              <w:rPr>
                <w:sz w:val="20"/>
                <w:szCs w:val="20"/>
              </w:rPr>
            </w:pPr>
            <w:r>
              <w:rPr>
                <w:rFonts w:ascii="Arial" w:eastAsia="Arial" w:hAnsi="Arial" w:cs="Arial"/>
              </w:rPr>
              <w:t>92</w:t>
            </w:r>
          </w:p>
        </w:tc>
        <w:tc>
          <w:tcPr>
            <w:tcW w:w="0" w:type="dxa"/>
            <w:vAlign w:val="bottom"/>
          </w:tcPr>
          <w:p w14:paraId="78AE9540" w14:textId="77777777" w:rsidR="00EF26BC" w:rsidRDefault="00EF26BC">
            <w:pPr>
              <w:rPr>
                <w:sz w:val="1"/>
                <w:szCs w:val="1"/>
              </w:rPr>
            </w:pPr>
          </w:p>
        </w:tc>
      </w:tr>
      <w:tr w:rsidR="00EF26BC" w14:paraId="78AE9545" w14:textId="77777777">
        <w:trPr>
          <w:trHeight w:val="270"/>
        </w:trPr>
        <w:tc>
          <w:tcPr>
            <w:tcW w:w="6940" w:type="dxa"/>
            <w:vAlign w:val="bottom"/>
          </w:tcPr>
          <w:p w14:paraId="78AE9542"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543" w14:textId="77777777" w:rsidR="00EF26BC" w:rsidRDefault="00EF26BC">
            <w:pPr>
              <w:rPr>
                <w:sz w:val="23"/>
                <w:szCs w:val="23"/>
              </w:rPr>
            </w:pPr>
          </w:p>
        </w:tc>
        <w:tc>
          <w:tcPr>
            <w:tcW w:w="0" w:type="dxa"/>
            <w:vAlign w:val="bottom"/>
          </w:tcPr>
          <w:p w14:paraId="78AE9544" w14:textId="77777777" w:rsidR="00EF26BC" w:rsidRDefault="00EF26BC">
            <w:pPr>
              <w:rPr>
                <w:sz w:val="1"/>
                <w:szCs w:val="1"/>
              </w:rPr>
            </w:pPr>
          </w:p>
        </w:tc>
      </w:tr>
    </w:tbl>
    <w:p w14:paraId="78AE9546" w14:textId="77777777" w:rsidR="00EF26BC" w:rsidRDefault="00EF26BC">
      <w:pPr>
        <w:sectPr w:rsidR="00EF26BC">
          <w:pgSz w:w="12240" w:h="15840"/>
          <w:pgMar w:top="714" w:right="580" w:bottom="112" w:left="1440" w:header="0" w:footer="0" w:gutter="0"/>
          <w:cols w:space="720" w:equalWidth="0">
            <w:col w:w="10220"/>
          </w:cols>
        </w:sectPr>
      </w:pPr>
    </w:p>
    <w:p w14:paraId="78AE9547" w14:textId="77777777" w:rsidR="00EF26BC" w:rsidRDefault="00343DF1">
      <w:pPr>
        <w:ind w:left="2960"/>
        <w:rPr>
          <w:sz w:val="20"/>
          <w:szCs w:val="20"/>
        </w:rPr>
      </w:pPr>
      <w:bookmarkStart w:id="4" w:name="page5"/>
      <w:bookmarkEnd w:id="4"/>
      <w:r>
        <w:rPr>
          <w:rFonts w:ascii="Arial" w:eastAsia="Arial" w:hAnsi="Arial" w:cs="Arial"/>
          <w:sz w:val="20"/>
          <w:szCs w:val="20"/>
        </w:rPr>
        <w:lastRenderedPageBreak/>
        <w:t xml:space="preserve">Violencia </w:t>
      </w:r>
      <w:r>
        <w:rPr>
          <w:rFonts w:ascii="Arial" w:eastAsia="Arial" w:hAnsi="Arial" w:cs="Arial"/>
          <w:sz w:val="20"/>
          <w:szCs w:val="20"/>
        </w:rPr>
        <w:t>contra las mujeres y femicidio</w:t>
      </w:r>
    </w:p>
    <w:p w14:paraId="78AE9548" w14:textId="77777777" w:rsidR="00EF26BC" w:rsidRDefault="00EF26BC">
      <w:pPr>
        <w:spacing w:line="200" w:lineRule="exact"/>
        <w:rPr>
          <w:sz w:val="20"/>
          <w:szCs w:val="20"/>
        </w:rPr>
      </w:pPr>
    </w:p>
    <w:p w14:paraId="78AE9549" w14:textId="77777777" w:rsidR="00EF26BC" w:rsidRDefault="00EF26BC">
      <w:pPr>
        <w:spacing w:line="331" w:lineRule="exact"/>
        <w:rPr>
          <w:sz w:val="20"/>
          <w:szCs w:val="20"/>
        </w:rPr>
      </w:pPr>
    </w:p>
    <w:p w14:paraId="78AE954A" w14:textId="77777777" w:rsidR="00EF26BC" w:rsidRDefault="00343DF1">
      <w:pPr>
        <w:spacing w:line="253" w:lineRule="auto"/>
        <w:ind w:left="820" w:right="1680"/>
        <w:jc w:val="both"/>
        <w:rPr>
          <w:sz w:val="20"/>
          <w:szCs w:val="20"/>
        </w:rPr>
      </w:pPr>
      <w:r>
        <w:rPr>
          <w:rFonts w:eastAsia="Times New Roman"/>
          <w:sz w:val="24"/>
          <w:szCs w:val="24"/>
        </w:rPr>
        <w:t xml:space="preserve">La violencia simbólica de género se diferencia de la violencia simbólica general mediante la dinámica de subordinación que aparece como normal y que, además, establece formas de relación que devienen del deber </w:t>
      </w:r>
      <w:r>
        <w:rPr>
          <w:rFonts w:eastAsia="Times New Roman"/>
          <w:sz w:val="24"/>
          <w:szCs w:val="24"/>
        </w:rPr>
        <w:t>ser/hacer del comportamiento individual y las estructuras sociales (Aguilar, 2002).</w:t>
      </w:r>
    </w:p>
    <w:p w14:paraId="78AE954B" w14:textId="77777777" w:rsidR="00EF26BC" w:rsidRDefault="00EF26BC">
      <w:pPr>
        <w:spacing w:line="142" w:lineRule="exact"/>
        <w:rPr>
          <w:sz w:val="20"/>
          <w:szCs w:val="20"/>
        </w:rPr>
      </w:pPr>
    </w:p>
    <w:p w14:paraId="78AE954C" w14:textId="77777777" w:rsidR="00EF26BC" w:rsidRDefault="00343DF1">
      <w:pPr>
        <w:spacing w:line="247" w:lineRule="auto"/>
        <w:ind w:left="820" w:right="1680"/>
        <w:jc w:val="both"/>
        <w:rPr>
          <w:sz w:val="20"/>
          <w:szCs w:val="20"/>
        </w:rPr>
      </w:pPr>
      <w:r>
        <w:rPr>
          <w:rFonts w:eastAsia="Times New Roman"/>
          <w:sz w:val="24"/>
          <w:szCs w:val="24"/>
        </w:rPr>
        <w:t xml:space="preserve">Como bien lo plantea José Manuel Valenzuela (2012) la expresión límite de la violencia contra las mujeres es el femicidio, las mujeres asesinadas denotan estructuraciones </w:t>
      </w:r>
      <w:r>
        <w:rPr>
          <w:rFonts w:eastAsia="Times New Roman"/>
          <w:sz w:val="24"/>
          <w:szCs w:val="24"/>
        </w:rPr>
        <w:t>de género definidas por las desigualdades de poder, es una violencia anclada en las estructuras patriarcales, con altos índices de impunidad, donde las mujeres pueden ser sacrificadas, ya que se encuentran en mayores condiciones de vulnerabilidad e indefen</w:t>
      </w:r>
      <w:r>
        <w:rPr>
          <w:rFonts w:eastAsia="Times New Roman"/>
          <w:sz w:val="24"/>
          <w:szCs w:val="24"/>
        </w:rPr>
        <w:t>sión.</w:t>
      </w:r>
    </w:p>
    <w:p w14:paraId="78AE954D" w14:textId="77777777" w:rsidR="00EF26BC" w:rsidRDefault="00EF26BC">
      <w:pPr>
        <w:spacing w:line="153" w:lineRule="exact"/>
        <w:rPr>
          <w:sz w:val="20"/>
          <w:szCs w:val="20"/>
        </w:rPr>
      </w:pPr>
    </w:p>
    <w:p w14:paraId="78AE954E" w14:textId="77777777" w:rsidR="00EF26BC" w:rsidRDefault="00343DF1">
      <w:pPr>
        <w:spacing w:line="245" w:lineRule="auto"/>
        <w:ind w:left="820" w:right="1680"/>
        <w:jc w:val="both"/>
        <w:rPr>
          <w:sz w:val="20"/>
          <w:szCs w:val="20"/>
        </w:rPr>
      </w:pPr>
      <w:r>
        <w:rPr>
          <w:rFonts w:eastAsia="Times New Roman"/>
          <w:sz w:val="24"/>
          <w:szCs w:val="24"/>
        </w:rPr>
        <w:t>Marcela Lagarde indica que el femicidio expresa un orden patriarcal que funciona como mecanismo estructurante de la desigualdad entre mujeres y hombres, un sistema de clasificación social y sistema sexo-género reproductor de la inequidad de poder en</w:t>
      </w:r>
      <w:r>
        <w:rPr>
          <w:rFonts w:eastAsia="Times New Roman"/>
          <w:sz w:val="24"/>
          <w:szCs w:val="24"/>
        </w:rPr>
        <w:t xml:space="preserve"> todos los ámbitos (social, político, económico y cultural). El femicidio, precisamente, es producto de esas condiciones estructurales de la organización social de los géneros y la dominación de los hombres, que tienen como mecanismo reproductor de la opre</w:t>
      </w:r>
      <w:r>
        <w:rPr>
          <w:rFonts w:eastAsia="Times New Roman"/>
          <w:sz w:val="24"/>
          <w:szCs w:val="24"/>
        </w:rPr>
        <w:t>sión de las mujeres la violencia de género (Lagarde, 2008).</w:t>
      </w:r>
    </w:p>
    <w:p w14:paraId="78AE954F" w14:textId="77777777" w:rsidR="00EF26BC" w:rsidRDefault="00EF26BC">
      <w:pPr>
        <w:spacing w:line="151" w:lineRule="exact"/>
        <w:rPr>
          <w:sz w:val="20"/>
          <w:szCs w:val="20"/>
        </w:rPr>
      </w:pPr>
    </w:p>
    <w:p w14:paraId="78AE9550" w14:textId="77777777" w:rsidR="00EF26BC" w:rsidRDefault="00343DF1">
      <w:pPr>
        <w:spacing w:line="253" w:lineRule="auto"/>
        <w:ind w:left="820" w:right="1680"/>
        <w:jc w:val="both"/>
        <w:rPr>
          <w:sz w:val="20"/>
          <w:szCs w:val="20"/>
        </w:rPr>
      </w:pPr>
      <w:r>
        <w:rPr>
          <w:rFonts w:eastAsia="Times New Roman"/>
          <w:sz w:val="24"/>
          <w:szCs w:val="24"/>
        </w:rPr>
        <w:t>Las relaciones patriarcales por sí mismas implican diversas formas de violencia, puede ser patrimonial, física, emocional y psicológica. Como elementos del orden patriarcal el femicidio es la dim</w:t>
      </w:r>
      <w:r>
        <w:rPr>
          <w:rFonts w:eastAsia="Times New Roman"/>
          <w:sz w:val="24"/>
          <w:szCs w:val="24"/>
        </w:rPr>
        <w:t>ensión extrema de esta violencia, la expresión límite de la misoginia (Russell y Harmes, 2006).</w:t>
      </w:r>
    </w:p>
    <w:p w14:paraId="78AE9551" w14:textId="77777777" w:rsidR="00EF26BC" w:rsidRDefault="00EF26BC">
      <w:pPr>
        <w:spacing w:line="142" w:lineRule="exact"/>
        <w:rPr>
          <w:sz w:val="20"/>
          <w:szCs w:val="20"/>
        </w:rPr>
      </w:pPr>
    </w:p>
    <w:p w14:paraId="78AE9552" w14:textId="77777777" w:rsidR="00EF26BC" w:rsidRDefault="00343DF1">
      <w:pPr>
        <w:spacing w:line="235" w:lineRule="auto"/>
        <w:ind w:left="820" w:right="1680" w:hanging="4"/>
        <w:jc w:val="both"/>
        <w:rPr>
          <w:sz w:val="20"/>
          <w:szCs w:val="20"/>
        </w:rPr>
      </w:pPr>
      <w:r>
        <w:rPr>
          <w:rFonts w:eastAsia="Times New Roman"/>
          <w:sz w:val="24"/>
          <w:szCs w:val="24"/>
        </w:rPr>
        <w:t>El uso del concepto femicidio</w:t>
      </w:r>
      <w:r>
        <w:rPr>
          <w:rFonts w:eastAsia="Times New Roman"/>
          <w:sz w:val="31"/>
          <w:szCs w:val="31"/>
          <w:vertAlign w:val="superscript"/>
        </w:rPr>
        <w:t>1</w:t>
      </w:r>
      <w:r>
        <w:rPr>
          <w:rFonts w:eastAsia="Times New Roman"/>
          <w:sz w:val="24"/>
          <w:szCs w:val="24"/>
        </w:rPr>
        <w:t xml:space="preserve"> tiene una intencionalidad política, hacer visible el sustrato sexista o misógino de estos crímenes, que permanece oculto cuando se hace referencia a estos a través de palabra neutras como homicidio (Toledo, 2009). Tanto la violación como el femicidio son </w:t>
      </w:r>
      <w:r>
        <w:rPr>
          <w:rFonts w:eastAsia="Times New Roman"/>
          <w:sz w:val="24"/>
          <w:szCs w:val="24"/>
        </w:rPr>
        <w:t>las formas más extremas de terrorismo sexista, perpetrados por esposos, amantes, padres, conocidos o extraños, contra mujeres, de ahí la importancia de reflejar esta compresión política (Caputti y Russell,1992).</w:t>
      </w:r>
    </w:p>
    <w:p w14:paraId="78AE9553" w14:textId="77777777" w:rsidR="00EF26BC" w:rsidRDefault="00EF26BC">
      <w:pPr>
        <w:spacing w:line="200" w:lineRule="exact"/>
        <w:rPr>
          <w:sz w:val="20"/>
          <w:szCs w:val="20"/>
        </w:rPr>
      </w:pPr>
    </w:p>
    <w:p w14:paraId="78AE9554" w14:textId="77777777" w:rsidR="00EF26BC" w:rsidRDefault="00EF26BC">
      <w:pPr>
        <w:spacing w:line="200" w:lineRule="exact"/>
        <w:rPr>
          <w:sz w:val="20"/>
          <w:szCs w:val="20"/>
        </w:rPr>
      </w:pPr>
    </w:p>
    <w:p w14:paraId="78AE9555" w14:textId="77777777" w:rsidR="00EF26BC" w:rsidRDefault="00EF26BC">
      <w:pPr>
        <w:spacing w:line="269" w:lineRule="exact"/>
        <w:rPr>
          <w:sz w:val="20"/>
          <w:szCs w:val="20"/>
        </w:rPr>
      </w:pPr>
    </w:p>
    <w:p w14:paraId="78AE9556" w14:textId="77777777" w:rsidR="00EF26BC" w:rsidRDefault="00343DF1">
      <w:pPr>
        <w:ind w:left="820"/>
        <w:rPr>
          <w:sz w:val="20"/>
          <w:szCs w:val="20"/>
        </w:rPr>
      </w:pPr>
      <w:r>
        <w:rPr>
          <w:rFonts w:ascii="Arial" w:eastAsia="Arial" w:hAnsi="Arial" w:cs="Arial"/>
          <w:b/>
          <w:bCs/>
          <w:sz w:val="24"/>
          <w:szCs w:val="24"/>
        </w:rPr>
        <w:t>VIOLENCIA DE GÉNERO</w:t>
      </w:r>
    </w:p>
    <w:p w14:paraId="78AE9557" w14:textId="77777777" w:rsidR="00EF26BC" w:rsidRDefault="00EF26BC">
      <w:pPr>
        <w:spacing w:line="190" w:lineRule="exact"/>
        <w:rPr>
          <w:sz w:val="20"/>
          <w:szCs w:val="20"/>
        </w:rPr>
      </w:pPr>
    </w:p>
    <w:p w14:paraId="78AE9558" w14:textId="77777777" w:rsidR="00EF26BC" w:rsidRDefault="00343DF1">
      <w:pPr>
        <w:spacing w:line="248" w:lineRule="auto"/>
        <w:ind w:left="820" w:right="1680"/>
        <w:jc w:val="both"/>
        <w:rPr>
          <w:sz w:val="20"/>
          <w:szCs w:val="20"/>
        </w:rPr>
      </w:pPr>
      <w:r>
        <w:rPr>
          <w:rFonts w:eastAsia="Times New Roman"/>
          <w:sz w:val="24"/>
          <w:szCs w:val="24"/>
        </w:rPr>
        <w:t xml:space="preserve">Las mujeres </w:t>
      </w:r>
      <w:r>
        <w:rPr>
          <w:rFonts w:eastAsia="Times New Roman"/>
          <w:sz w:val="24"/>
          <w:szCs w:val="24"/>
        </w:rPr>
        <w:t>están expuestas a ser víctimas de femicidio y de hechos violentos, en contextos, estrechamente ligados a la violencia intrafamiliar y doméstica. Según Ana Hidalgo, el femicidio es la principal causa de muerte violenta intencional de mujeres en Costa Rica y</w:t>
      </w:r>
      <w:r>
        <w:rPr>
          <w:rFonts w:eastAsia="Times New Roman"/>
          <w:sz w:val="24"/>
          <w:szCs w:val="24"/>
        </w:rPr>
        <w:t>, además, “la cuota principal de los femicidios lo aporta la violencia de pareja o intrafamiliar (…)” (p 67-68), que para el periodo 2007-2017 representa en promedio un 75%, según el análisis de</w:t>
      </w:r>
    </w:p>
    <w:p w14:paraId="78AE9559" w14:textId="77777777" w:rsidR="00EF26BC" w:rsidRDefault="00343DF1">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14:anchorId="78AE9C31" wp14:editId="78AE9C32">
                <wp:simplePos x="0" y="0"/>
                <wp:positionH relativeFrom="column">
                  <wp:posOffset>523875</wp:posOffset>
                </wp:positionH>
                <wp:positionV relativeFrom="paragraph">
                  <wp:posOffset>120650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A946013" id="Shape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25pt,9.5pt" to="18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" o:allowincell="f" filled="t" strokeweight=".72pt">
                <v:stroke joinstyle="miter"/>
                <o:lock v:ext="edit" shapetype="f"/>
              </v:line>
            </w:pict>
          </mc:Fallback>
        </mc:AlternateContent>
      </w:r>
    </w:p>
    <w:p w14:paraId="78AE955A" w14:textId="77777777" w:rsidR="00EF26BC" w:rsidRDefault="00EF26BC">
      <w:pPr>
        <w:spacing w:line="291" w:lineRule="exact"/>
        <w:rPr>
          <w:sz w:val="20"/>
          <w:szCs w:val="20"/>
        </w:rPr>
      </w:pPr>
    </w:p>
    <w:p w14:paraId="78AE955B" w14:textId="77777777" w:rsidR="00EF26BC" w:rsidRDefault="00343DF1">
      <w:pPr>
        <w:numPr>
          <w:ilvl w:val="0"/>
          <w:numId w:val="3"/>
        </w:numPr>
        <w:tabs>
          <w:tab w:val="left" w:pos="934"/>
        </w:tabs>
        <w:spacing w:line="224" w:lineRule="auto"/>
        <w:ind w:left="820" w:right="1660" w:firstLine="6"/>
        <w:jc w:val="both"/>
        <w:rPr>
          <w:rFonts w:ascii="Calibri" w:eastAsia="Calibri" w:hAnsi="Calibri" w:cs="Calibri"/>
          <w:sz w:val="26"/>
          <w:szCs w:val="26"/>
          <w:vertAlign w:val="superscript"/>
        </w:rPr>
      </w:pPr>
      <w:r>
        <w:rPr>
          <w:rFonts w:eastAsia="Times New Roman"/>
          <w:sz w:val="18"/>
          <w:szCs w:val="18"/>
        </w:rPr>
        <w:t>En Costa Rica la normativa nacional utiliza el término fem</w:t>
      </w:r>
      <w:r>
        <w:rPr>
          <w:rFonts w:eastAsia="Times New Roman"/>
          <w:sz w:val="18"/>
          <w:szCs w:val="18"/>
        </w:rPr>
        <w:t xml:space="preserve">icidio, traducción literal del concepto acuñado por Diana Russell </w:t>
      </w:r>
      <w:r>
        <w:rPr>
          <w:rFonts w:eastAsia="Times New Roman"/>
          <w:i/>
          <w:iCs/>
          <w:sz w:val="18"/>
          <w:szCs w:val="18"/>
        </w:rPr>
        <w:t>femicide</w:t>
      </w:r>
      <w:r>
        <w:rPr>
          <w:rFonts w:eastAsia="Times New Roman"/>
          <w:sz w:val="18"/>
          <w:szCs w:val="18"/>
        </w:rPr>
        <w:t>, que va a ser utilizado en el presente artículo, aunque otras autoras, como Marcela Lagarde utilicen el concepto de feminicidio, como una forma de hacer visible la variable impunida</w:t>
      </w:r>
      <w:r>
        <w:rPr>
          <w:rFonts w:eastAsia="Times New Roman"/>
          <w:sz w:val="18"/>
          <w:szCs w:val="18"/>
        </w:rPr>
        <w:t>d, muchas veces presente en este tipo de delitos.</w:t>
      </w:r>
    </w:p>
    <w:p w14:paraId="78AE955C" w14:textId="77777777" w:rsidR="00EF26BC" w:rsidRDefault="00EF26BC">
      <w:pPr>
        <w:spacing w:line="301"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460"/>
        <w:gridCol w:w="20"/>
      </w:tblGrid>
      <w:tr w:rsidR="00EF26BC" w14:paraId="78AE9560" w14:textId="77777777">
        <w:trPr>
          <w:trHeight w:val="240"/>
        </w:trPr>
        <w:tc>
          <w:tcPr>
            <w:tcW w:w="6920" w:type="dxa"/>
            <w:vAlign w:val="bottom"/>
          </w:tcPr>
          <w:p w14:paraId="78AE955D"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5E" w14:textId="77777777" w:rsidR="00EF26BC" w:rsidRDefault="00343DF1">
            <w:pPr>
              <w:jc w:val="right"/>
              <w:rPr>
                <w:sz w:val="20"/>
                <w:szCs w:val="20"/>
              </w:rPr>
            </w:pPr>
            <w:r>
              <w:rPr>
                <w:rFonts w:ascii="Arial" w:eastAsia="Arial" w:hAnsi="Arial" w:cs="Arial"/>
              </w:rPr>
              <w:t>93</w:t>
            </w:r>
          </w:p>
        </w:tc>
        <w:tc>
          <w:tcPr>
            <w:tcW w:w="0" w:type="dxa"/>
            <w:vAlign w:val="bottom"/>
          </w:tcPr>
          <w:p w14:paraId="78AE955F" w14:textId="77777777" w:rsidR="00EF26BC" w:rsidRDefault="00EF26BC">
            <w:pPr>
              <w:rPr>
                <w:sz w:val="1"/>
                <w:szCs w:val="1"/>
              </w:rPr>
            </w:pPr>
          </w:p>
        </w:tc>
      </w:tr>
      <w:tr w:rsidR="00EF26BC" w14:paraId="78AE9564" w14:textId="77777777">
        <w:trPr>
          <w:trHeight w:val="260"/>
        </w:trPr>
        <w:tc>
          <w:tcPr>
            <w:tcW w:w="6920" w:type="dxa"/>
            <w:vAlign w:val="bottom"/>
          </w:tcPr>
          <w:p w14:paraId="78AE9561"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562" w14:textId="77777777" w:rsidR="00EF26BC" w:rsidRDefault="00EF26BC"/>
        </w:tc>
        <w:tc>
          <w:tcPr>
            <w:tcW w:w="0" w:type="dxa"/>
            <w:vAlign w:val="bottom"/>
          </w:tcPr>
          <w:p w14:paraId="78AE9563" w14:textId="77777777" w:rsidR="00EF26BC" w:rsidRDefault="00EF26BC">
            <w:pPr>
              <w:rPr>
                <w:sz w:val="1"/>
                <w:szCs w:val="1"/>
              </w:rPr>
            </w:pPr>
          </w:p>
        </w:tc>
      </w:tr>
    </w:tbl>
    <w:p w14:paraId="78AE9565" w14:textId="77777777" w:rsidR="00EF26BC" w:rsidRDefault="00EF26BC">
      <w:pPr>
        <w:sectPr w:rsidR="00EF26BC">
          <w:pgSz w:w="12240" w:h="15840"/>
          <w:pgMar w:top="714" w:right="600" w:bottom="121" w:left="1440" w:header="0" w:footer="0" w:gutter="0"/>
          <w:cols w:space="720" w:equalWidth="0">
            <w:col w:w="10200"/>
          </w:cols>
        </w:sectPr>
      </w:pPr>
    </w:p>
    <w:p w14:paraId="78AE9566" w14:textId="77777777" w:rsidR="00EF26BC" w:rsidRDefault="00343DF1">
      <w:pPr>
        <w:ind w:left="3700"/>
        <w:rPr>
          <w:sz w:val="20"/>
          <w:szCs w:val="20"/>
        </w:rPr>
      </w:pPr>
      <w:bookmarkStart w:id="5" w:name="page6"/>
      <w:bookmarkEnd w:id="5"/>
      <w:r>
        <w:rPr>
          <w:rFonts w:ascii="Arial" w:eastAsia="Arial" w:hAnsi="Arial" w:cs="Arial"/>
          <w:sz w:val="20"/>
          <w:szCs w:val="20"/>
        </w:rPr>
        <w:lastRenderedPageBreak/>
        <w:t>Marcela Piedra Durán</w:t>
      </w:r>
    </w:p>
    <w:p w14:paraId="78AE9567" w14:textId="77777777" w:rsidR="00EF26BC" w:rsidRDefault="00EF26BC">
      <w:pPr>
        <w:spacing w:line="200" w:lineRule="exact"/>
        <w:rPr>
          <w:sz w:val="20"/>
          <w:szCs w:val="20"/>
        </w:rPr>
      </w:pPr>
    </w:p>
    <w:p w14:paraId="78AE9568" w14:textId="77777777" w:rsidR="00EF26BC" w:rsidRDefault="00EF26BC">
      <w:pPr>
        <w:spacing w:line="331" w:lineRule="exact"/>
        <w:rPr>
          <w:sz w:val="20"/>
          <w:szCs w:val="20"/>
        </w:rPr>
      </w:pPr>
    </w:p>
    <w:p w14:paraId="78AE9569" w14:textId="77777777" w:rsidR="00EF26BC" w:rsidRDefault="00343DF1">
      <w:pPr>
        <w:spacing w:line="280" w:lineRule="auto"/>
        <w:ind w:left="820" w:right="1700"/>
        <w:jc w:val="both"/>
        <w:rPr>
          <w:sz w:val="20"/>
          <w:szCs w:val="20"/>
        </w:rPr>
      </w:pPr>
      <w:r>
        <w:rPr>
          <w:rFonts w:eastAsia="Times New Roman"/>
          <w:sz w:val="24"/>
          <w:szCs w:val="24"/>
        </w:rPr>
        <w:t xml:space="preserve">los datos del Observatorio de </w:t>
      </w:r>
      <w:r>
        <w:rPr>
          <w:rFonts w:eastAsia="Times New Roman"/>
          <w:sz w:val="24"/>
          <w:szCs w:val="24"/>
        </w:rPr>
        <w:t>Violencia de Género contra las Mujeres del Poder Judicial.</w:t>
      </w:r>
    </w:p>
    <w:p w14:paraId="78AE956A" w14:textId="77777777" w:rsidR="00EF26BC" w:rsidRDefault="00EF26BC">
      <w:pPr>
        <w:spacing w:line="110" w:lineRule="exact"/>
        <w:rPr>
          <w:sz w:val="20"/>
          <w:szCs w:val="20"/>
        </w:rPr>
      </w:pPr>
    </w:p>
    <w:p w14:paraId="78AE956B" w14:textId="77777777" w:rsidR="00EF26BC" w:rsidRDefault="00343DF1">
      <w:pPr>
        <w:spacing w:line="235" w:lineRule="auto"/>
        <w:ind w:left="820" w:right="1700"/>
        <w:jc w:val="both"/>
        <w:rPr>
          <w:sz w:val="20"/>
          <w:szCs w:val="20"/>
        </w:rPr>
      </w:pPr>
      <w:r>
        <w:rPr>
          <w:rFonts w:eastAsia="Times New Roman"/>
          <w:sz w:val="24"/>
          <w:szCs w:val="24"/>
        </w:rPr>
        <w:t>La violencia de género se define como “todo acto de violencia basado en el género, cuyo resultado posible o real es un daño físico, sexual o psicológico, incluidas las amenazas, la coerción o la p</w:t>
      </w:r>
      <w:r>
        <w:rPr>
          <w:rFonts w:eastAsia="Times New Roman"/>
          <w:sz w:val="24"/>
          <w:szCs w:val="24"/>
        </w:rPr>
        <w:t>rivación arbitraria de la libertad, ya sea que ocurra en la vida pública o en la privada […] es ante todo una imposición arbitraria que tiene como efecto práctico la subordinación, así como imposición de conductas, discursos, valores, normas, comportamient</w:t>
      </w:r>
      <w:r>
        <w:rPr>
          <w:rFonts w:eastAsia="Times New Roman"/>
          <w:sz w:val="24"/>
          <w:szCs w:val="24"/>
        </w:rPr>
        <w:t>os, roles y, sobre todo, de las representaciones simbólico culturales</w:t>
      </w:r>
      <w:r>
        <w:rPr>
          <w:rFonts w:eastAsia="Times New Roman"/>
          <w:sz w:val="31"/>
          <w:szCs w:val="31"/>
          <w:vertAlign w:val="superscript"/>
        </w:rPr>
        <w:t>2</w:t>
      </w:r>
      <w:r>
        <w:rPr>
          <w:rFonts w:eastAsia="Times New Roman"/>
          <w:sz w:val="24"/>
          <w:szCs w:val="24"/>
        </w:rPr>
        <w:t xml:space="preserve"> masculinas/masculinizantes” (Aguilar, 2002, p.157).</w:t>
      </w:r>
    </w:p>
    <w:p w14:paraId="78AE956C" w14:textId="77777777" w:rsidR="00EF26BC" w:rsidRDefault="00EF26BC">
      <w:pPr>
        <w:spacing w:line="169" w:lineRule="exact"/>
        <w:rPr>
          <w:sz w:val="20"/>
          <w:szCs w:val="20"/>
        </w:rPr>
      </w:pPr>
    </w:p>
    <w:p w14:paraId="78AE956D" w14:textId="77777777" w:rsidR="00EF26BC" w:rsidRDefault="00343DF1">
      <w:pPr>
        <w:spacing w:line="242" w:lineRule="auto"/>
        <w:ind w:left="820" w:right="1700"/>
        <w:jc w:val="both"/>
        <w:rPr>
          <w:sz w:val="20"/>
          <w:szCs w:val="20"/>
        </w:rPr>
      </w:pPr>
      <w:r>
        <w:rPr>
          <w:rFonts w:eastAsia="Times New Roman"/>
          <w:sz w:val="24"/>
          <w:szCs w:val="24"/>
        </w:rPr>
        <w:t>La violencia de género se puede manifestar a través de la coacción, cuando se intenta obligar o impedir a la mujer hacer algo, ya se</w:t>
      </w:r>
      <w:r>
        <w:rPr>
          <w:rFonts w:eastAsia="Times New Roman"/>
          <w:sz w:val="24"/>
          <w:szCs w:val="24"/>
        </w:rPr>
        <w:t>a mediante una forma de chantaje o una actuación determinada (privarla de determinadas relaciones o vínculos con amistades o familiares, obligarla a mantener relaciones sexuales ejerciendo la fuerza física o cualquier otro tipo de coacción, obligarla a eje</w:t>
      </w:r>
      <w:r>
        <w:rPr>
          <w:rFonts w:eastAsia="Times New Roman"/>
          <w:sz w:val="24"/>
          <w:szCs w:val="24"/>
        </w:rPr>
        <w:t>rcer la prostitución o a guardar silencio para encubrir los malos tratos de que es objeto). Además, se expresa como violencia psicológica, cuando se trata de perturbar y denigrar la imagen y la autoestima de la mujer ante el entorno social, ya sea mediante</w:t>
      </w:r>
      <w:r>
        <w:rPr>
          <w:rFonts w:eastAsia="Times New Roman"/>
          <w:sz w:val="24"/>
          <w:szCs w:val="24"/>
        </w:rPr>
        <w:t xml:space="preserve"> el empleo de insultos y/o comportamientos que la humillen indistintamente de si es en un lugar público o privado (cuando el agresor le impide hablar u opinar, cuando subestima o ridiculiza sus opiniones, aspecto o comportamiento, le impide disponer de un </w:t>
      </w:r>
      <w:r>
        <w:rPr>
          <w:rFonts w:eastAsia="Times New Roman"/>
          <w:sz w:val="24"/>
          <w:szCs w:val="24"/>
        </w:rPr>
        <w:t>patrimonio común o le exige detalles de sus actos u omisiones) (Piedra y Esquivel, 2012).</w:t>
      </w:r>
    </w:p>
    <w:p w14:paraId="78AE956E" w14:textId="77777777" w:rsidR="00EF26BC" w:rsidRDefault="00EF26BC">
      <w:pPr>
        <w:spacing w:line="170" w:lineRule="exact"/>
        <w:rPr>
          <w:sz w:val="20"/>
          <w:szCs w:val="20"/>
        </w:rPr>
      </w:pPr>
    </w:p>
    <w:p w14:paraId="78AE956F" w14:textId="77777777" w:rsidR="00EF26BC" w:rsidRDefault="00343DF1">
      <w:pPr>
        <w:spacing w:line="235" w:lineRule="auto"/>
        <w:ind w:left="820" w:right="1700"/>
        <w:jc w:val="both"/>
        <w:rPr>
          <w:sz w:val="20"/>
          <w:szCs w:val="20"/>
        </w:rPr>
      </w:pPr>
      <w:r>
        <w:rPr>
          <w:rFonts w:eastAsia="Times New Roman"/>
          <w:sz w:val="24"/>
          <w:szCs w:val="24"/>
        </w:rPr>
        <w:t xml:space="preserve">Asimismo, en el marco de la Convención Interamericana para Prevenir, Sancionar y Erradicar la Violencia contra la Mujer, más conocida como la Convención de Belem do </w:t>
      </w:r>
      <w:r>
        <w:rPr>
          <w:rFonts w:eastAsia="Times New Roman"/>
          <w:sz w:val="24"/>
          <w:szCs w:val="24"/>
        </w:rPr>
        <w:t>Pará</w:t>
      </w:r>
      <w:r>
        <w:rPr>
          <w:rFonts w:ascii="Calibri" w:eastAsia="Calibri" w:hAnsi="Calibri" w:cs="Calibri"/>
          <w:sz w:val="31"/>
          <w:szCs w:val="31"/>
          <w:vertAlign w:val="superscript"/>
        </w:rPr>
        <w:t>3</w:t>
      </w:r>
      <w:r>
        <w:rPr>
          <w:rFonts w:eastAsia="Times New Roman"/>
          <w:sz w:val="24"/>
          <w:szCs w:val="24"/>
        </w:rPr>
        <w:t>, se identifica a la violencia contra las mujeres como una ofensa a la dignidad humana, una manifestación de las relaciones de poder históricamente desiguales entre mujeres y hombres, que trasciende todos los sectores de la sociedad, independientement</w:t>
      </w:r>
      <w:r>
        <w:rPr>
          <w:rFonts w:eastAsia="Times New Roman"/>
          <w:sz w:val="24"/>
          <w:szCs w:val="24"/>
        </w:rPr>
        <w:t>e de su clase, etnia, edad, religión, entre otros; por lo cual, su eliminación es condición indispensable para el desarrollo integral de las mujeres en todas las esferas de la vida.</w:t>
      </w:r>
    </w:p>
    <w:p w14:paraId="78AE9570" w14:textId="77777777" w:rsidR="00EF26BC" w:rsidRDefault="00EF26BC">
      <w:pPr>
        <w:spacing w:line="162" w:lineRule="exact"/>
        <w:rPr>
          <w:sz w:val="20"/>
          <w:szCs w:val="20"/>
        </w:rPr>
      </w:pPr>
    </w:p>
    <w:p w14:paraId="78AE9571" w14:textId="77777777" w:rsidR="00EF26BC" w:rsidRDefault="00343DF1">
      <w:pPr>
        <w:spacing w:line="249" w:lineRule="auto"/>
        <w:ind w:left="820" w:right="1700"/>
        <w:jc w:val="both"/>
        <w:rPr>
          <w:sz w:val="20"/>
          <w:szCs w:val="20"/>
        </w:rPr>
      </w:pPr>
      <w:r>
        <w:rPr>
          <w:rFonts w:eastAsia="Times New Roman"/>
          <w:sz w:val="24"/>
          <w:szCs w:val="24"/>
        </w:rPr>
        <w:t xml:space="preserve">En lo referente a la violencia en contra de las mujeres, el </w:t>
      </w:r>
      <w:r>
        <w:rPr>
          <w:rFonts w:eastAsia="Times New Roman"/>
          <w:sz w:val="24"/>
          <w:szCs w:val="24"/>
        </w:rPr>
        <w:t xml:space="preserve">artículo 1 de la Convención de Belem do Pará, define la violencia como “cualquier acción o conducta, basada en su género, que cause muerte, daño o sufrimiento físico, sexual o psicológico a la mujer, tanto en el ámbito público como en el privado”. En este </w:t>
      </w:r>
      <w:r>
        <w:rPr>
          <w:rFonts w:eastAsia="Times New Roman"/>
          <w:sz w:val="24"/>
          <w:szCs w:val="24"/>
        </w:rPr>
        <w:t>sentido, es posible establecer una escala de violencia, en la que, en el</w:t>
      </w:r>
    </w:p>
    <w:p w14:paraId="78AE9572" w14:textId="77777777" w:rsidR="00EF26BC" w:rsidRDefault="00343DF1">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14:anchorId="78AE9C33" wp14:editId="78AE9C34">
                <wp:simplePos x="0" y="0"/>
                <wp:positionH relativeFrom="column">
                  <wp:posOffset>523875</wp:posOffset>
                </wp:positionH>
                <wp:positionV relativeFrom="paragraph">
                  <wp:posOffset>353060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3DDCB04" id="Shap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25pt,27.8pt" to="185.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" o:allowincell="f" filled="t" strokeweight=".72pt">
                <v:stroke joinstyle="miter"/>
                <o:lock v:ext="edit" shapetype="f"/>
              </v:line>
            </w:pict>
          </mc:Fallback>
        </mc:AlternateContent>
      </w:r>
    </w:p>
    <w:p w14:paraId="78AE9573" w14:textId="77777777" w:rsidR="00EF26BC" w:rsidRDefault="00EF26BC">
      <w:pPr>
        <w:spacing w:line="200" w:lineRule="exact"/>
        <w:rPr>
          <w:sz w:val="20"/>
          <w:szCs w:val="20"/>
        </w:rPr>
      </w:pPr>
    </w:p>
    <w:p w14:paraId="78AE9574" w14:textId="77777777" w:rsidR="00EF26BC" w:rsidRDefault="00EF26BC">
      <w:pPr>
        <w:spacing w:line="200" w:lineRule="exact"/>
        <w:rPr>
          <w:sz w:val="20"/>
          <w:szCs w:val="20"/>
        </w:rPr>
      </w:pPr>
    </w:p>
    <w:p w14:paraId="78AE9575" w14:textId="77777777" w:rsidR="00EF26BC" w:rsidRDefault="00EF26BC">
      <w:pPr>
        <w:spacing w:line="233" w:lineRule="exact"/>
        <w:rPr>
          <w:sz w:val="20"/>
          <w:szCs w:val="20"/>
        </w:rPr>
      </w:pPr>
    </w:p>
    <w:p w14:paraId="78AE9576" w14:textId="77777777" w:rsidR="00EF26BC" w:rsidRDefault="00343DF1">
      <w:pPr>
        <w:spacing w:line="232" w:lineRule="auto"/>
        <w:ind w:left="820" w:right="1680"/>
        <w:jc w:val="both"/>
        <w:rPr>
          <w:sz w:val="20"/>
          <w:szCs w:val="20"/>
        </w:rPr>
      </w:pPr>
      <w:r>
        <w:rPr>
          <w:rFonts w:eastAsia="Times New Roman"/>
          <w:sz w:val="25"/>
          <w:szCs w:val="25"/>
          <w:vertAlign w:val="superscript"/>
        </w:rPr>
        <w:t>2</w:t>
      </w:r>
      <w:r>
        <w:rPr>
          <w:rFonts w:eastAsia="Times New Roman"/>
          <w:sz w:val="20"/>
          <w:szCs w:val="20"/>
        </w:rPr>
        <w:t>Los “poderes simbólicos” se basan en la eficacia y los efectos de las “inclinaciones modeladas por las estructuras de dominación que las producen” (Bourdieu, 2000: 58). Estos po</w:t>
      </w:r>
      <w:r>
        <w:rPr>
          <w:rFonts w:eastAsia="Times New Roman"/>
          <w:sz w:val="20"/>
          <w:szCs w:val="20"/>
        </w:rPr>
        <w:t>deres simbólicos producen disposiciones jerárquicas que favorecen la inclusión o exclusión de las personas de los diferentes ámbitos (sociales, culturales, etc.) y de todo tipo de relaciones (Aguilar, 2002)</w:t>
      </w:r>
    </w:p>
    <w:p w14:paraId="78AE9577" w14:textId="77777777" w:rsidR="00EF26BC" w:rsidRDefault="00343DF1">
      <w:pPr>
        <w:numPr>
          <w:ilvl w:val="0"/>
          <w:numId w:val="4"/>
        </w:numPr>
        <w:tabs>
          <w:tab w:val="left" w:pos="940"/>
        </w:tabs>
        <w:spacing w:line="202" w:lineRule="auto"/>
        <w:ind w:left="940" w:hanging="114"/>
        <w:rPr>
          <w:rFonts w:eastAsia="Times New Roman"/>
          <w:sz w:val="26"/>
          <w:szCs w:val="26"/>
          <w:vertAlign w:val="superscript"/>
        </w:rPr>
      </w:pPr>
      <w:r>
        <w:rPr>
          <w:rFonts w:eastAsia="Times New Roman"/>
          <w:sz w:val="20"/>
          <w:szCs w:val="20"/>
        </w:rPr>
        <w:t>Denominada así por su celebración en la ciudad de</w:t>
      </w:r>
      <w:r>
        <w:rPr>
          <w:rFonts w:eastAsia="Times New Roman"/>
          <w:sz w:val="20"/>
          <w:szCs w:val="20"/>
        </w:rPr>
        <w:t xml:space="preserve"> Belem do Pará en Brasil, en junio de 1984</w:t>
      </w:r>
    </w:p>
    <w:p w14:paraId="78AE9578" w14:textId="77777777" w:rsidR="00EF26BC" w:rsidRDefault="00EF26BC">
      <w:pPr>
        <w:spacing w:line="300"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460"/>
        <w:gridCol w:w="20"/>
      </w:tblGrid>
      <w:tr w:rsidR="00EF26BC" w14:paraId="78AE957C" w14:textId="77777777">
        <w:trPr>
          <w:trHeight w:val="240"/>
        </w:trPr>
        <w:tc>
          <w:tcPr>
            <w:tcW w:w="6940" w:type="dxa"/>
            <w:vAlign w:val="bottom"/>
          </w:tcPr>
          <w:p w14:paraId="78AE9579"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7A" w14:textId="77777777" w:rsidR="00EF26BC" w:rsidRDefault="00343DF1">
            <w:pPr>
              <w:jc w:val="right"/>
              <w:rPr>
                <w:sz w:val="20"/>
                <w:szCs w:val="20"/>
              </w:rPr>
            </w:pPr>
            <w:r>
              <w:rPr>
                <w:rFonts w:ascii="Arial" w:eastAsia="Arial" w:hAnsi="Arial" w:cs="Arial"/>
              </w:rPr>
              <w:t>94</w:t>
            </w:r>
          </w:p>
        </w:tc>
        <w:tc>
          <w:tcPr>
            <w:tcW w:w="0" w:type="dxa"/>
            <w:vAlign w:val="bottom"/>
          </w:tcPr>
          <w:p w14:paraId="78AE957B" w14:textId="77777777" w:rsidR="00EF26BC" w:rsidRDefault="00EF26BC">
            <w:pPr>
              <w:rPr>
                <w:sz w:val="1"/>
                <w:szCs w:val="1"/>
              </w:rPr>
            </w:pPr>
          </w:p>
        </w:tc>
      </w:tr>
      <w:tr w:rsidR="00EF26BC" w14:paraId="78AE9580" w14:textId="77777777">
        <w:trPr>
          <w:trHeight w:val="270"/>
        </w:trPr>
        <w:tc>
          <w:tcPr>
            <w:tcW w:w="6940" w:type="dxa"/>
            <w:vAlign w:val="bottom"/>
          </w:tcPr>
          <w:p w14:paraId="78AE957D"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57E" w14:textId="77777777" w:rsidR="00EF26BC" w:rsidRDefault="00EF26BC">
            <w:pPr>
              <w:rPr>
                <w:sz w:val="23"/>
                <w:szCs w:val="23"/>
              </w:rPr>
            </w:pPr>
          </w:p>
        </w:tc>
        <w:tc>
          <w:tcPr>
            <w:tcW w:w="0" w:type="dxa"/>
            <w:vAlign w:val="bottom"/>
          </w:tcPr>
          <w:p w14:paraId="78AE957F" w14:textId="77777777" w:rsidR="00EF26BC" w:rsidRDefault="00EF26BC">
            <w:pPr>
              <w:rPr>
                <w:sz w:val="1"/>
                <w:szCs w:val="1"/>
              </w:rPr>
            </w:pPr>
          </w:p>
        </w:tc>
      </w:tr>
    </w:tbl>
    <w:p w14:paraId="78AE9581" w14:textId="77777777" w:rsidR="00EF26BC" w:rsidRDefault="00EF26BC">
      <w:pPr>
        <w:sectPr w:rsidR="00EF26BC">
          <w:pgSz w:w="12240" w:h="15840"/>
          <w:pgMar w:top="714" w:right="580" w:bottom="112" w:left="1440" w:header="0" w:footer="0" w:gutter="0"/>
          <w:cols w:space="720" w:equalWidth="0">
            <w:col w:w="10220"/>
          </w:cols>
        </w:sectPr>
      </w:pPr>
    </w:p>
    <w:p w14:paraId="78AE9582" w14:textId="77777777" w:rsidR="00EF26BC" w:rsidRDefault="00343DF1">
      <w:pPr>
        <w:ind w:left="2960"/>
        <w:rPr>
          <w:sz w:val="20"/>
          <w:szCs w:val="20"/>
        </w:rPr>
      </w:pPr>
      <w:bookmarkStart w:id="6" w:name="page7"/>
      <w:bookmarkEnd w:id="6"/>
      <w:r>
        <w:rPr>
          <w:rFonts w:ascii="Arial" w:eastAsia="Arial" w:hAnsi="Arial" w:cs="Arial"/>
          <w:sz w:val="20"/>
          <w:szCs w:val="20"/>
        </w:rPr>
        <w:lastRenderedPageBreak/>
        <w:t>Violencia contra las mujeres y femicidio</w:t>
      </w:r>
    </w:p>
    <w:p w14:paraId="78AE9583" w14:textId="77777777" w:rsidR="00EF26BC" w:rsidRDefault="00EF26BC">
      <w:pPr>
        <w:spacing w:line="200" w:lineRule="exact"/>
        <w:rPr>
          <w:sz w:val="20"/>
          <w:szCs w:val="20"/>
        </w:rPr>
      </w:pPr>
    </w:p>
    <w:p w14:paraId="78AE9584" w14:textId="77777777" w:rsidR="00EF26BC" w:rsidRDefault="00EF26BC">
      <w:pPr>
        <w:spacing w:line="331" w:lineRule="exact"/>
        <w:rPr>
          <w:sz w:val="20"/>
          <w:szCs w:val="20"/>
        </w:rPr>
      </w:pPr>
    </w:p>
    <w:p w14:paraId="78AE9585" w14:textId="77777777" w:rsidR="00EF26BC" w:rsidRDefault="00343DF1">
      <w:pPr>
        <w:spacing w:line="280" w:lineRule="auto"/>
        <w:ind w:left="820" w:right="1680"/>
        <w:jc w:val="both"/>
        <w:rPr>
          <w:sz w:val="20"/>
          <w:szCs w:val="20"/>
        </w:rPr>
      </w:pPr>
      <w:r>
        <w:rPr>
          <w:rFonts w:eastAsia="Times New Roman"/>
          <w:sz w:val="24"/>
          <w:szCs w:val="24"/>
        </w:rPr>
        <w:t xml:space="preserve">nivel superior, se </w:t>
      </w:r>
      <w:r>
        <w:rPr>
          <w:rFonts w:eastAsia="Times New Roman"/>
          <w:sz w:val="24"/>
          <w:szCs w:val="24"/>
        </w:rPr>
        <w:t>encuentran los femicidios como la máxima expresión de esa violencia.</w:t>
      </w:r>
    </w:p>
    <w:p w14:paraId="78AE9586" w14:textId="77777777" w:rsidR="00EF26BC" w:rsidRDefault="00EF26BC">
      <w:pPr>
        <w:spacing w:line="110" w:lineRule="exact"/>
        <w:rPr>
          <w:sz w:val="20"/>
          <w:szCs w:val="20"/>
        </w:rPr>
      </w:pPr>
    </w:p>
    <w:p w14:paraId="78AE9587" w14:textId="77777777" w:rsidR="00EF26BC" w:rsidRDefault="00343DF1">
      <w:pPr>
        <w:spacing w:line="252" w:lineRule="auto"/>
        <w:ind w:left="820" w:right="1680"/>
        <w:jc w:val="both"/>
        <w:rPr>
          <w:sz w:val="20"/>
          <w:szCs w:val="20"/>
        </w:rPr>
      </w:pPr>
      <w:r>
        <w:rPr>
          <w:rFonts w:eastAsia="Times New Roman"/>
          <w:sz w:val="24"/>
          <w:szCs w:val="24"/>
        </w:rPr>
        <w:t xml:space="preserve">Ante este panorama y ante la predominancia histórica del modelo de organización social patriarcal, Piedra y Esquivel (2012) mencionan los mecanismos mediante los cuales se ha </w:t>
      </w:r>
      <w:r>
        <w:rPr>
          <w:rFonts w:eastAsia="Times New Roman"/>
          <w:sz w:val="24"/>
          <w:szCs w:val="24"/>
        </w:rPr>
        <w:t>invisibilizado y se invisibiliza la violencia en contra de las mujeres, los cuales refieren a Rainero et al (2006):</w:t>
      </w:r>
    </w:p>
    <w:p w14:paraId="78AE9588" w14:textId="77777777" w:rsidR="00EF26BC" w:rsidRDefault="00EF26BC">
      <w:pPr>
        <w:spacing w:line="146" w:lineRule="exact"/>
        <w:rPr>
          <w:sz w:val="20"/>
          <w:szCs w:val="20"/>
        </w:rPr>
      </w:pPr>
    </w:p>
    <w:p w14:paraId="78AE9589" w14:textId="77777777" w:rsidR="00EF26BC" w:rsidRDefault="00343DF1">
      <w:pPr>
        <w:numPr>
          <w:ilvl w:val="0"/>
          <w:numId w:val="5"/>
        </w:numPr>
        <w:tabs>
          <w:tab w:val="left" w:pos="1180"/>
        </w:tabs>
        <w:spacing w:line="252" w:lineRule="auto"/>
        <w:ind w:left="1180" w:right="1680" w:hanging="354"/>
        <w:jc w:val="both"/>
        <w:rPr>
          <w:rFonts w:eastAsia="Times New Roman"/>
        </w:rPr>
      </w:pPr>
      <w:r>
        <w:rPr>
          <w:rFonts w:eastAsia="Times New Roman"/>
          <w:sz w:val="24"/>
          <w:szCs w:val="24"/>
        </w:rPr>
        <w:t>La culpabilidad y responsabilidad adjudicada a las mujeres por las conductas agresivas de las que son objeto ("usted se lo buscó"): la resp</w:t>
      </w:r>
      <w:r>
        <w:rPr>
          <w:rFonts w:eastAsia="Times New Roman"/>
          <w:sz w:val="24"/>
          <w:szCs w:val="24"/>
        </w:rPr>
        <w:t>onsabilidad de la violencia de la que son víctimas recae en las mujeres, en lo que hicieron o dejaron de hacer y no en el agresor.</w:t>
      </w:r>
    </w:p>
    <w:p w14:paraId="78AE958A" w14:textId="77777777" w:rsidR="00EF26BC" w:rsidRDefault="00EF26BC">
      <w:pPr>
        <w:spacing w:line="208" w:lineRule="exact"/>
        <w:rPr>
          <w:rFonts w:eastAsia="Times New Roman"/>
        </w:rPr>
      </w:pPr>
    </w:p>
    <w:p w14:paraId="78AE958B" w14:textId="77777777" w:rsidR="00EF26BC" w:rsidRDefault="00343DF1">
      <w:pPr>
        <w:numPr>
          <w:ilvl w:val="0"/>
          <w:numId w:val="5"/>
        </w:numPr>
        <w:tabs>
          <w:tab w:val="left" w:pos="1180"/>
        </w:tabs>
        <w:spacing w:line="256" w:lineRule="auto"/>
        <w:ind w:left="1180" w:right="1680" w:hanging="354"/>
        <w:jc w:val="both"/>
        <w:rPr>
          <w:rFonts w:eastAsia="Times New Roman"/>
          <w:sz w:val="21"/>
          <w:szCs w:val="21"/>
        </w:rPr>
      </w:pPr>
      <w:r>
        <w:rPr>
          <w:rFonts w:eastAsia="Times New Roman"/>
          <w:sz w:val="23"/>
          <w:szCs w:val="23"/>
        </w:rPr>
        <w:t>El desconocimiento de las experiencias de violencia cotidiana vividas por las mujeres: refiere fundamentalmente, a una conce</w:t>
      </w:r>
      <w:r>
        <w:rPr>
          <w:rFonts w:eastAsia="Times New Roman"/>
          <w:sz w:val="23"/>
          <w:szCs w:val="23"/>
        </w:rPr>
        <w:t>pción de la violencia centrada en las agresiones físicas con consecuencias en el cuerpo de las víctimas, lo cual ignora el irrespeto de derechos e intimidación como una violencia que afecta la vida cotidiana y el desconociendo o “normalización” de la viole</w:t>
      </w:r>
      <w:r>
        <w:rPr>
          <w:rFonts w:eastAsia="Times New Roman"/>
          <w:sz w:val="23"/>
          <w:szCs w:val="23"/>
        </w:rPr>
        <w:t>ncia sexual hacia las mujeres. El acoso callejero es un claro ejemplo de esto, ya que lesiona la integridad física, psicológica y sexual de las mujeres que se sienten violentadas por palabras, gestos, tocamientos e incluso abuso sexual o intentos de violac</w:t>
      </w:r>
      <w:r>
        <w:rPr>
          <w:rFonts w:eastAsia="Times New Roman"/>
          <w:sz w:val="23"/>
          <w:szCs w:val="23"/>
        </w:rPr>
        <w:t>ión al hacer uso de espacios públicos como calles, parques, transporte público, centros comerciales, estadios, entre otros.</w:t>
      </w:r>
    </w:p>
    <w:p w14:paraId="78AE958C" w14:textId="77777777" w:rsidR="00EF26BC" w:rsidRDefault="00EF26BC">
      <w:pPr>
        <w:spacing w:line="207" w:lineRule="exact"/>
        <w:rPr>
          <w:rFonts w:eastAsia="Times New Roman"/>
          <w:sz w:val="21"/>
          <w:szCs w:val="21"/>
        </w:rPr>
      </w:pPr>
    </w:p>
    <w:p w14:paraId="78AE958D" w14:textId="77777777" w:rsidR="00EF26BC" w:rsidRDefault="00343DF1">
      <w:pPr>
        <w:numPr>
          <w:ilvl w:val="0"/>
          <w:numId w:val="5"/>
        </w:numPr>
        <w:tabs>
          <w:tab w:val="left" w:pos="1180"/>
        </w:tabs>
        <w:spacing w:line="256" w:lineRule="auto"/>
        <w:ind w:left="1180" w:right="1680" w:hanging="354"/>
        <w:jc w:val="both"/>
        <w:rPr>
          <w:rFonts w:eastAsia="Times New Roman"/>
          <w:sz w:val="21"/>
          <w:szCs w:val="21"/>
        </w:rPr>
      </w:pPr>
      <w:r>
        <w:rPr>
          <w:rFonts w:eastAsia="Times New Roman"/>
          <w:sz w:val="23"/>
          <w:szCs w:val="23"/>
        </w:rPr>
        <w:t>La relativización del daño y las consecuencias en la vida de las mujeres: el desconocimiento de algunas formas de violencia implica</w:t>
      </w:r>
      <w:r>
        <w:rPr>
          <w:rFonts w:eastAsia="Times New Roman"/>
          <w:sz w:val="23"/>
          <w:szCs w:val="23"/>
        </w:rPr>
        <w:t>, a su vez, la invisibilización o subestimación de sus consecuencias en la cotidianeidad y proyectos de vida de las mujeres. Una forma en que se manifiesta es la ridiculización de la situación que se expresa en chistes y bromas. Un ejemplo claro es la rela</w:t>
      </w:r>
      <w:r>
        <w:rPr>
          <w:rFonts w:eastAsia="Times New Roman"/>
          <w:sz w:val="23"/>
          <w:szCs w:val="23"/>
        </w:rPr>
        <w:t>tivización, cuando a la hora de comentar o evaluar una situación de violencia que ha vivido una mujer, se escuchan frases como "no fue grave... no la violó" o "no le hicieron nada, no pasó nada... no perdió la vida"; o cuando se caracterizan a los agresore</w:t>
      </w:r>
      <w:r>
        <w:rPr>
          <w:rFonts w:eastAsia="Times New Roman"/>
          <w:sz w:val="23"/>
          <w:szCs w:val="23"/>
        </w:rPr>
        <w:t>s que ejercen estas acciones intimidatorias contra las mujeres, como "chistosos" y no como violentos.</w:t>
      </w:r>
    </w:p>
    <w:p w14:paraId="78AE958E" w14:textId="77777777" w:rsidR="00EF26BC" w:rsidRDefault="00EF26BC">
      <w:pPr>
        <w:spacing w:line="217" w:lineRule="exact"/>
        <w:rPr>
          <w:rFonts w:eastAsia="Times New Roman"/>
          <w:sz w:val="21"/>
          <w:szCs w:val="21"/>
        </w:rPr>
      </w:pPr>
    </w:p>
    <w:p w14:paraId="78AE958F" w14:textId="77777777" w:rsidR="00EF26BC" w:rsidRDefault="00343DF1">
      <w:pPr>
        <w:numPr>
          <w:ilvl w:val="0"/>
          <w:numId w:val="5"/>
        </w:numPr>
        <w:tabs>
          <w:tab w:val="left" w:pos="1180"/>
        </w:tabs>
        <w:spacing w:line="247" w:lineRule="auto"/>
        <w:ind w:left="1180" w:right="1680" w:hanging="354"/>
        <w:jc w:val="both"/>
        <w:rPr>
          <w:rFonts w:eastAsia="Times New Roman"/>
        </w:rPr>
      </w:pPr>
      <w:r>
        <w:rPr>
          <w:rFonts w:eastAsia="Times New Roman"/>
          <w:sz w:val="24"/>
          <w:szCs w:val="24"/>
        </w:rPr>
        <w:t>La patologización de la violencia: una forma de invisibilizar es adjudicar problemas de orden psicopatológico a aquellos varones que violan o realizan al</w:t>
      </w:r>
      <w:r>
        <w:rPr>
          <w:rFonts w:eastAsia="Times New Roman"/>
          <w:sz w:val="24"/>
          <w:szCs w:val="24"/>
        </w:rPr>
        <w:t>gún acto de agresión sexual, inclusive el exhibicionismo. La consideración de la violencia como un fenómeno individual y psicopatológico califica al agresor como un enfermo, ocultando la visión de la violencia hacia las mujeres como un fenómeno cultural.</w:t>
      </w:r>
    </w:p>
    <w:p w14:paraId="78AE9590" w14:textId="77777777" w:rsidR="00EF26BC" w:rsidRDefault="00EF26BC">
      <w:pPr>
        <w:spacing w:line="153" w:lineRule="exact"/>
        <w:rPr>
          <w:sz w:val="20"/>
          <w:szCs w:val="20"/>
        </w:rPr>
      </w:pPr>
    </w:p>
    <w:p w14:paraId="78AE9591" w14:textId="77777777" w:rsidR="00EF26BC" w:rsidRDefault="00343DF1">
      <w:pPr>
        <w:spacing w:line="248" w:lineRule="auto"/>
        <w:ind w:left="820" w:right="1680"/>
        <w:jc w:val="both"/>
        <w:rPr>
          <w:sz w:val="20"/>
          <w:szCs w:val="20"/>
        </w:rPr>
      </w:pPr>
      <w:r>
        <w:rPr>
          <w:rFonts w:eastAsia="Times New Roman"/>
          <w:sz w:val="24"/>
          <w:szCs w:val="24"/>
        </w:rPr>
        <w:t xml:space="preserve">En este sentido, la violencia contra las mujeres se asienta en una concepción cultural que otorga mayor valoración social a lo masculino en relación con lo femenino, y a partir de la cual una persona ejerce poder sobre otra. Una de las expresiones máximas </w:t>
      </w:r>
      <w:r>
        <w:rPr>
          <w:rFonts w:eastAsia="Times New Roman"/>
          <w:sz w:val="24"/>
          <w:szCs w:val="24"/>
        </w:rPr>
        <w:t>de la violencia contra las mujeres es el feminicidio, como ya se ha planteado líneas atrás, que refiere al asesinato de mujeres por razones</w:t>
      </w:r>
    </w:p>
    <w:p w14:paraId="78AE9592" w14:textId="77777777" w:rsidR="00EF26BC" w:rsidRDefault="00EF26BC">
      <w:pPr>
        <w:spacing w:line="200" w:lineRule="exact"/>
        <w:rPr>
          <w:sz w:val="20"/>
          <w:szCs w:val="20"/>
        </w:rPr>
      </w:pPr>
    </w:p>
    <w:p w14:paraId="78AE9593" w14:textId="77777777" w:rsidR="00EF26BC" w:rsidRDefault="00EF26BC">
      <w:pPr>
        <w:spacing w:line="201"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460"/>
        <w:gridCol w:w="20"/>
      </w:tblGrid>
      <w:tr w:rsidR="00EF26BC" w14:paraId="78AE9597" w14:textId="77777777">
        <w:trPr>
          <w:trHeight w:val="240"/>
        </w:trPr>
        <w:tc>
          <w:tcPr>
            <w:tcW w:w="6920" w:type="dxa"/>
            <w:vAlign w:val="bottom"/>
          </w:tcPr>
          <w:p w14:paraId="78AE9594"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95" w14:textId="77777777" w:rsidR="00EF26BC" w:rsidRDefault="00343DF1">
            <w:pPr>
              <w:jc w:val="right"/>
              <w:rPr>
                <w:sz w:val="20"/>
                <w:szCs w:val="20"/>
              </w:rPr>
            </w:pPr>
            <w:r>
              <w:rPr>
                <w:rFonts w:ascii="Arial" w:eastAsia="Arial" w:hAnsi="Arial" w:cs="Arial"/>
              </w:rPr>
              <w:t>95</w:t>
            </w:r>
          </w:p>
        </w:tc>
        <w:tc>
          <w:tcPr>
            <w:tcW w:w="0" w:type="dxa"/>
            <w:vAlign w:val="bottom"/>
          </w:tcPr>
          <w:p w14:paraId="78AE9596" w14:textId="77777777" w:rsidR="00EF26BC" w:rsidRDefault="00EF26BC">
            <w:pPr>
              <w:rPr>
                <w:sz w:val="1"/>
                <w:szCs w:val="1"/>
              </w:rPr>
            </w:pPr>
          </w:p>
        </w:tc>
      </w:tr>
      <w:tr w:rsidR="00EF26BC" w14:paraId="78AE959B" w14:textId="77777777">
        <w:trPr>
          <w:trHeight w:val="260"/>
        </w:trPr>
        <w:tc>
          <w:tcPr>
            <w:tcW w:w="6920" w:type="dxa"/>
            <w:vAlign w:val="bottom"/>
          </w:tcPr>
          <w:p w14:paraId="78AE9598" w14:textId="77777777" w:rsidR="00EF26BC" w:rsidRDefault="00343DF1">
            <w:pPr>
              <w:ind w:right="1099"/>
              <w:jc w:val="center"/>
              <w:rPr>
                <w:sz w:val="20"/>
                <w:szCs w:val="20"/>
              </w:rPr>
            </w:pPr>
            <w:r>
              <w:rPr>
                <w:rFonts w:ascii="Arial" w:eastAsia="Arial" w:hAnsi="Arial" w:cs="Arial"/>
                <w:sz w:val="20"/>
                <w:szCs w:val="20"/>
              </w:rPr>
              <w:t xml:space="preserve">Universidad de Costa Rica, 10: 89-115, 2019 </w:t>
            </w:r>
            <w:r>
              <w:rPr>
                <w:rFonts w:ascii="Arial" w:eastAsia="Arial" w:hAnsi="Arial" w:cs="Arial"/>
                <w:sz w:val="20"/>
                <w:szCs w:val="20"/>
              </w:rPr>
              <w:t>ISSN: 2215-2873</w:t>
            </w:r>
          </w:p>
        </w:tc>
        <w:tc>
          <w:tcPr>
            <w:tcW w:w="1460" w:type="dxa"/>
            <w:vMerge/>
            <w:vAlign w:val="bottom"/>
          </w:tcPr>
          <w:p w14:paraId="78AE9599" w14:textId="77777777" w:rsidR="00EF26BC" w:rsidRDefault="00EF26BC"/>
        </w:tc>
        <w:tc>
          <w:tcPr>
            <w:tcW w:w="0" w:type="dxa"/>
            <w:vAlign w:val="bottom"/>
          </w:tcPr>
          <w:p w14:paraId="78AE959A" w14:textId="77777777" w:rsidR="00EF26BC" w:rsidRDefault="00EF26BC">
            <w:pPr>
              <w:rPr>
                <w:sz w:val="1"/>
                <w:szCs w:val="1"/>
              </w:rPr>
            </w:pPr>
          </w:p>
        </w:tc>
      </w:tr>
    </w:tbl>
    <w:p w14:paraId="78AE959C" w14:textId="77777777" w:rsidR="00EF26BC" w:rsidRDefault="00EF26BC">
      <w:pPr>
        <w:sectPr w:rsidR="00EF26BC">
          <w:pgSz w:w="12240" w:h="15840"/>
          <w:pgMar w:top="714" w:right="600" w:bottom="121" w:left="1440" w:header="0" w:footer="0" w:gutter="0"/>
          <w:cols w:space="720" w:equalWidth="0">
            <w:col w:w="10200"/>
          </w:cols>
        </w:sectPr>
      </w:pPr>
    </w:p>
    <w:p w14:paraId="78AE959D" w14:textId="77777777" w:rsidR="00EF26BC" w:rsidRDefault="00343DF1">
      <w:pPr>
        <w:ind w:left="3700"/>
        <w:rPr>
          <w:sz w:val="20"/>
          <w:szCs w:val="20"/>
        </w:rPr>
      </w:pPr>
      <w:bookmarkStart w:id="7" w:name="page8"/>
      <w:bookmarkEnd w:id="7"/>
      <w:r>
        <w:rPr>
          <w:rFonts w:ascii="Arial" w:eastAsia="Arial" w:hAnsi="Arial" w:cs="Arial"/>
          <w:sz w:val="20"/>
          <w:szCs w:val="20"/>
        </w:rPr>
        <w:lastRenderedPageBreak/>
        <w:t>Marcela Piedra Durán</w:t>
      </w:r>
    </w:p>
    <w:p w14:paraId="78AE959E" w14:textId="77777777" w:rsidR="00EF26BC" w:rsidRDefault="00EF26BC">
      <w:pPr>
        <w:spacing w:line="200" w:lineRule="exact"/>
        <w:rPr>
          <w:sz w:val="20"/>
          <w:szCs w:val="20"/>
        </w:rPr>
      </w:pPr>
    </w:p>
    <w:p w14:paraId="78AE959F" w14:textId="77777777" w:rsidR="00EF26BC" w:rsidRDefault="00EF26BC">
      <w:pPr>
        <w:spacing w:line="331" w:lineRule="exact"/>
        <w:rPr>
          <w:sz w:val="20"/>
          <w:szCs w:val="20"/>
        </w:rPr>
      </w:pPr>
    </w:p>
    <w:p w14:paraId="78AE95A0" w14:textId="77777777" w:rsidR="00EF26BC" w:rsidRDefault="00343DF1">
      <w:pPr>
        <w:spacing w:line="259" w:lineRule="auto"/>
        <w:ind w:left="820" w:right="1700"/>
        <w:jc w:val="both"/>
        <w:rPr>
          <w:sz w:val="20"/>
          <w:szCs w:val="20"/>
        </w:rPr>
      </w:pPr>
      <w:r>
        <w:rPr>
          <w:rFonts w:eastAsia="Times New Roman"/>
          <w:sz w:val="24"/>
          <w:szCs w:val="24"/>
        </w:rPr>
        <w:t xml:space="preserve">asociadas a su género. Para Marcela Lagarde (2014), comprende el conjunto de delitos de lesa humanidad que reúne crímenes, secuestros, desapariciones de mujeres y niñas ante el colapso </w:t>
      </w:r>
      <w:r>
        <w:rPr>
          <w:rFonts w:eastAsia="Times New Roman"/>
          <w:sz w:val="24"/>
          <w:szCs w:val="24"/>
        </w:rPr>
        <w:t>institucional. Lo define como:</w:t>
      </w:r>
    </w:p>
    <w:p w14:paraId="78AE95A1" w14:textId="77777777" w:rsidR="00EF26BC" w:rsidRDefault="00EF26BC">
      <w:pPr>
        <w:spacing w:line="138" w:lineRule="exact"/>
        <w:rPr>
          <w:sz w:val="20"/>
          <w:szCs w:val="20"/>
        </w:rPr>
      </w:pPr>
    </w:p>
    <w:p w14:paraId="78AE95A2" w14:textId="77777777" w:rsidR="00EF26BC" w:rsidRDefault="00343DF1">
      <w:pPr>
        <w:spacing w:line="247" w:lineRule="auto"/>
        <w:ind w:left="1400" w:right="1740"/>
        <w:jc w:val="both"/>
        <w:rPr>
          <w:sz w:val="20"/>
          <w:szCs w:val="20"/>
        </w:rPr>
      </w:pPr>
      <w:r>
        <w:rPr>
          <w:rFonts w:eastAsia="Times New Roman"/>
        </w:rPr>
        <w:t>(...) el genocidio contra mujeres y sucede cuando las condiciones históricas generan prácticas sociales que permiten atentados contra la integridad, la salud, las libertades y la vida de las mujeres (...) todos tienen en com</w:t>
      </w:r>
      <w:r>
        <w:rPr>
          <w:rFonts w:eastAsia="Times New Roman"/>
        </w:rPr>
        <w:t>ún que las mujeres son usables, prescindibles, maltratables y desechables. Y, desde luego, todos coinciden en su infinita crueldad y son, de hecho, crímenes de odio contra las mujeres (Lagarde, 2004, p.2).</w:t>
      </w:r>
    </w:p>
    <w:p w14:paraId="78AE95A3" w14:textId="77777777" w:rsidR="00EF26BC" w:rsidRDefault="00EF26BC">
      <w:pPr>
        <w:spacing w:line="152" w:lineRule="exact"/>
        <w:rPr>
          <w:sz w:val="20"/>
          <w:szCs w:val="20"/>
        </w:rPr>
      </w:pPr>
    </w:p>
    <w:p w14:paraId="78AE95A4" w14:textId="77777777" w:rsidR="00EF26BC" w:rsidRDefault="00343DF1">
      <w:pPr>
        <w:spacing w:line="302" w:lineRule="auto"/>
        <w:ind w:left="820" w:right="1700"/>
        <w:rPr>
          <w:sz w:val="20"/>
          <w:szCs w:val="20"/>
        </w:rPr>
      </w:pPr>
      <w:r>
        <w:rPr>
          <w:rFonts w:eastAsia="Times New Roman"/>
          <w:sz w:val="23"/>
          <w:szCs w:val="23"/>
        </w:rPr>
        <w:t xml:space="preserve">Según el Modelo de Protocolo </w:t>
      </w:r>
      <w:r>
        <w:rPr>
          <w:rFonts w:eastAsia="Times New Roman"/>
          <w:sz w:val="23"/>
          <w:szCs w:val="23"/>
        </w:rPr>
        <w:t>Latinoamericano para la investigación de muertes violentas de mujeres por razones de género, se entiende el femicidio como,</w:t>
      </w:r>
    </w:p>
    <w:p w14:paraId="78AE95A5" w14:textId="77777777" w:rsidR="00EF26BC" w:rsidRDefault="00EF26BC">
      <w:pPr>
        <w:spacing w:line="88" w:lineRule="exact"/>
        <w:rPr>
          <w:sz w:val="20"/>
          <w:szCs w:val="20"/>
        </w:rPr>
      </w:pPr>
    </w:p>
    <w:p w14:paraId="78AE95A6" w14:textId="77777777" w:rsidR="00EF26BC" w:rsidRDefault="00343DF1">
      <w:pPr>
        <w:numPr>
          <w:ilvl w:val="0"/>
          <w:numId w:val="6"/>
        </w:numPr>
        <w:tabs>
          <w:tab w:val="left" w:pos="1826"/>
        </w:tabs>
        <w:spacing w:line="250" w:lineRule="auto"/>
        <w:ind w:left="1400" w:right="1740" w:hanging="7"/>
        <w:jc w:val="both"/>
        <w:rPr>
          <w:rFonts w:eastAsia="Times New Roman"/>
        </w:rPr>
      </w:pPr>
      <w:r>
        <w:rPr>
          <w:rFonts w:eastAsia="Times New Roman"/>
        </w:rPr>
        <w:t>la muerte violenta de mujeres por razones de género ya sea que tenga lugar dentro de la familia, unidad doméstica o en cualquier ot</w:t>
      </w:r>
      <w:r>
        <w:rPr>
          <w:rFonts w:eastAsia="Times New Roman"/>
        </w:rPr>
        <w:t>ra relación interpersonal, en la comunidad, por parte de cualquier persona, o que sea perpetrada o tolerada por el Estado y sus agentes, por acción u omisión (OACNUDH y ONU MUJERES, 2014).</w:t>
      </w:r>
    </w:p>
    <w:p w14:paraId="78AE95A7" w14:textId="77777777" w:rsidR="00EF26BC" w:rsidRDefault="00EF26BC">
      <w:pPr>
        <w:spacing w:line="146" w:lineRule="exact"/>
        <w:rPr>
          <w:sz w:val="20"/>
          <w:szCs w:val="20"/>
        </w:rPr>
      </w:pPr>
    </w:p>
    <w:p w14:paraId="78AE95A8" w14:textId="77777777" w:rsidR="00EF26BC" w:rsidRDefault="00343DF1">
      <w:pPr>
        <w:spacing w:line="256" w:lineRule="auto"/>
        <w:ind w:left="820" w:right="1700"/>
        <w:jc w:val="both"/>
        <w:rPr>
          <w:sz w:val="20"/>
          <w:szCs w:val="20"/>
        </w:rPr>
      </w:pPr>
      <w:r>
        <w:rPr>
          <w:rFonts w:eastAsia="Times New Roman"/>
          <w:sz w:val="23"/>
          <w:szCs w:val="23"/>
        </w:rPr>
        <w:t>Adicionalmente, se ha diferenciado el femicidio, femicidio íntimo,</w:t>
      </w:r>
      <w:r>
        <w:rPr>
          <w:rFonts w:eastAsia="Times New Roman"/>
          <w:sz w:val="23"/>
          <w:szCs w:val="23"/>
        </w:rPr>
        <w:t xml:space="preserve"> femicidio no íntimo y por conexión: el primero refiere a los asesinatos cometidos por hombres con quién la víctima tenía o tuvo una relación íntima, familiar, de convivencia o afines a éstas; los femicidios no íntimos son aquellos asesinatos cometidos por</w:t>
      </w:r>
      <w:r>
        <w:rPr>
          <w:rFonts w:eastAsia="Times New Roman"/>
          <w:sz w:val="23"/>
          <w:szCs w:val="23"/>
        </w:rPr>
        <w:t xml:space="preserve"> hombres que no tenían dichas relaciones y que frecuentemente involucran un ataque sexual previo; y, los femicidios por conexión, hacen referencia a mujeres asesinadas en “la línea de fuego”, de un hombre tratando de matar a una mujer, es el caso de mujere</w:t>
      </w:r>
      <w:r>
        <w:rPr>
          <w:rFonts w:eastAsia="Times New Roman"/>
          <w:sz w:val="23"/>
          <w:szCs w:val="23"/>
        </w:rPr>
        <w:t>s familiares, niñas u otras mujeres que trataron de intervenir o simplemente fueron atrapadas en la acción femicida (Valenzuela, 2012).</w:t>
      </w:r>
    </w:p>
    <w:p w14:paraId="78AE95A9" w14:textId="77777777" w:rsidR="00EF26BC" w:rsidRDefault="00EF26BC">
      <w:pPr>
        <w:spacing w:line="144" w:lineRule="exact"/>
        <w:rPr>
          <w:sz w:val="20"/>
          <w:szCs w:val="20"/>
        </w:rPr>
      </w:pPr>
    </w:p>
    <w:p w14:paraId="78AE95AA" w14:textId="77777777" w:rsidR="00EF26BC" w:rsidRDefault="00343DF1">
      <w:pPr>
        <w:spacing w:line="248" w:lineRule="auto"/>
        <w:ind w:left="820" w:right="1700"/>
        <w:jc w:val="both"/>
        <w:rPr>
          <w:sz w:val="20"/>
          <w:szCs w:val="20"/>
        </w:rPr>
      </w:pPr>
      <w:r>
        <w:rPr>
          <w:rFonts w:eastAsia="Times New Roman"/>
          <w:sz w:val="24"/>
          <w:szCs w:val="24"/>
        </w:rPr>
        <w:t xml:space="preserve">La Organización Mundial de la Salud estima que, a nivel mundial, una de cada tres mujeres han sido víctimas de </w:t>
      </w:r>
      <w:r>
        <w:rPr>
          <w:rFonts w:eastAsia="Times New Roman"/>
          <w:sz w:val="24"/>
          <w:szCs w:val="24"/>
        </w:rPr>
        <w:t>abuso sexual y o físico en su vida. Además, según el informe de homicidios por razón de género de la Oficina de las Naciones Unidas contra la Droga y el Delito, 6 de cada 10 mujeres víctimas de femicidios mueren a manos de sus parejas, ya sean actuales o d</w:t>
      </w:r>
      <w:r>
        <w:rPr>
          <w:rFonts w:eastAsia="Times New Roman"/>
          <w:sz w:val="24"/>
          <w:szCs w:val="24"/>
        </w:rPr>
        <w:t>e relaciones ya concluidas (UNODC, 2019).</w:t>
      </w:r>
    </w:p>
    <w:p w14:paraId="78AE95AB" w14:textId="77777777" w:rsidR="00EF26BC" w:rsidRDefault="00EF26BC">
      <w:pPr>
        <w:spacing w:line="147" w:lineRule="exact"/>
        <w:rPr>
          <w:sz w:val="20"/>
          <w:szCs w:val="20"/>
        </w:rPr>
      </w:pPr>
    </w:p>
    <w:p w14:paraId="78AE95AC" w14:textId="77777777" w:rsidR="00EF26BC" w:rsidRDefault="00343DF1">
      <w:pPr>
        <w:spacing w:line="245" w:lineRule="auto"/>
        <w:ind w:left="820" w:right="1700"/>
        <w:jc w:val="both"/>
        <w:rPr>
          <w:sz w:val="20"/>
          <w:szCs w:val="20"/>
        </w:rPr>
      </w:pPr>
      <w:r>
        <w:rPr>
          <w:rFonts w:eastAsia="Times New Roman"/>
          <w:sz w:val="24"/>
          <w:szCs w:val="24"/>
        </w:rPr>
        <w:t xml:space="preserve">El informe supra citado indica que, en el año 2017, la tasa de femicidios fue de 1.3 por 100.000 habitantes a nivel mundial, lo que representan 50.000 mujeres muertas por su condición de género. Como muestra la </w:t>
      </w:r>
      <w:r>
        <w:rPr>
          <w:rFonts w:eastAsia="Times New Roman"/>
          <w:b/>
          <w:bCs/>
          <w:sz w:val="24"/>
          <w:szCs w:val="24"/>
        </w:rPr>
        <w:t>in</w:t>
      </w:r>
      <w:r>
        <w:rPr>
          <w:rFonts w:eastAsia="Times New Roman"/>
          <w:b/>
          <w:bCs/>
          <w:sz w:val="24"/>
          <w:szCs w:val="24"/>
        </w:rPr>
        <w:t>fografía N°1</w:t>
      </w:r>
      <w:r>
        <w:rPr>
          <w:rFonts w:eastAsia="Times New Roman"/>
          <w:sz w:val="24"/>
          <w:szCs w:val="24"/>
        </w:rPr>
        <w:t>, el continente africano es el que mantiene la tasa más alta de femicidios con un 3.1 por 100.000 habitantes, seguido por América con 1.6, Europa y Asia mantienen tasas relativamente bajas de 0.7 y 0.9 respectivamente. En el caso de Oceanía, si</w:t>
      </w:r>
      <w:r>
        <w:rPr>
          <w:rFonts w:eastAsia="Times New Roman"/>
          <w:sz w:val="24"/>
          <w:szCs w:val="24"/>
        </w:rPr>
        <w:t xml:space="preserve"> bien la cantidad de casos se podría catalogar como baja, 300 muertes de mujeres, por la densidad poblacional, su tasa si es considerable de un 1.3.</w:t>
      </w:r>
    </w:p>
    <w:p w14:paraId="78AE95AD" w14:textId="77777777" w:rsidR="00EF26BC" w:rsidRDefault="00EF26BC">
      <w:pPr>
        <w:spacing w:line="200" w:lineRule="exact"/>
        <w:rPr>
          <w:sz w:val="20"/>
          <w:szCs w:val="20"/>
        </w:rPr>
      </w:pPr>
    </w:p>
    <w:p w14:paraId="78AE95AE" w14:textId="77777777" w:rsidR="00EF26BC" w:rsidRDefault="00EF26BC">
      <w:pPr>
        <w:spacing w:line="200" w:lineRule="exact"/>
        <w:rPr>
          <w:sz w:val="20"/>
          <w:szCs w:val="20"/>
        </w:rPr>
      </w:pPr>
    </w:p>
    <w:p w14:paraId="78AE95AF" w14:textId="77777777" w:rsidR="00EF26BC" w:rsidRDefault="00EF26BC">
      <w:pPr>
        <w:spacing w:line="200" w:lineRule="exact"/>
        <w:rPr>
          <w:sz w:val="20"/>
          <w:szCs w:val="20"/>
        </w:rPr>
      </w:pPr>
    </w:p>
    <w:p w14:paraId="78AE95B0" w14:textId="77777777" w:rsidR="00EF26BC" w:rsidRDefault="00EF26BC">
      <w:pPr>
        <w:spacing w:line="200" w:lineRule="exact"/>
        <w:rPr>
          <w:sz w:val="20"/>
          <w:szCs w:val="20"/>
        </w:rPr>
      </w:pPr>
    </w:p>
    <w:p w14:paraId="78AE95B1" w14:textId="77777777" w:rsidR="00EF26BC" w:rsidRDefault="00EF26BC">
      <w:pPr>
        <w:spacing w:line="200" w:lineRule="exact"/>
        <w:rPr>
          <w:sz w:val="20"/>
          <w:szCs w:val="20"/>
        </w:rPr>
      </w:pPr>
    </w:p>
    <w:p w14:paraId="78AE95B2" w14:textId="77777777" w:rsidR="00EF26BC" w:rsidRDefault="00EF26BC">
      <w:pPr>
        <w:spacing w:line="200" w:lineRule="exact"/>
        <w:rPr>
          <w:sz w:val="20"/>
          <w:szCs w:val="20"/>
        </w:rPr>
      </w:pPr>
    </w:p>
    <w:p w14:paraId="78AE95B3" w14:textId="77777777" w:rsidR="00EF26BC" w:rsidRDefault="00EF26BC">
      <w:pPr>
        <w:spacing w:line="221"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460"/>
        <w:gridCol w:w="20"/>
      </w:tblGrid>
      <w:tr w:rsidR="00EF26BC" w14:paraId="78AE95B7" w14:textId="77777777">
        <w:trPr>
          <w:trHeight w:val="240"/>
        </w:trPr>
        <w:tc>
          <w:tcPr>
            <w:tcW w:w="6940" w:type="dxa"/>
            <w:vAlign w:val="bottom"/>
          </w:tcPr>
          <w:p w14:paraId="78AE95B4"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B5" w14:textId="77777777" w:rsidR="00EF26BC" w:rsidRDefault="00343DF1">
            <w:pPr>
              <w:jc w:val="right"/>
              <w:rPr>
                <w:sz w:val="20"/>
                <w:szCs w:val="20"/>
              </w:rPr>
            </w:pPr>
            <w:r>
              <w:rPr>
                <w:rFonts w:ascii="Arial" w:eastAsia="Arial" w:hAnsi="Arial" w:cs="Arial"/>
              </w:rPr>
              <w:t>96</w:t>
            </w:r>
          </w:p>
        </w:tc>
        <w:tc>
          <w:tcPr>
            <w:tcW w:w="0" w:type="dxa"/>
            <w:vAlign w:val="bottom"/>
          </w:tcPr>
          <w:p w14:paraId="78AE95B6" w14:textId="77777777" w:rsidR="00EF26BC" w:rsidRDefault="00EF26BC">
            <w:pPr>
              <w:rPr>
                <w:sz w:val="1"/>
                <w:szCs w:val="1"/>
              </w:rPr>
            </w:pPr>
          </w:p>
        </w:tc>
      </w:tr>
      <w:tr w:rsidR="00EF26BC" w14:paraId="78AE95BB" w14:textId="77777777">
        <w:trPr>
          <w:trHeight w:val="270"/>
        </w:trPr>
        <w:tc>
          <w:tcPr>
            <w:tcW w:w="6940" w:type="dxa"/>
            <w:vAlign w:val="bottom"/>
          </w:tcPr>
          <w:p w14:paraId="78AE95B8" w14:textId="77777777" w:rsidR="00EF26BC" w:rsidRDefault="00343DF1">
            <w:pPr>
              <w:ind w:right="1119"/>
              <w:jc w:val="center"/>
              <w:rPr>
                <w:sz w:val="20"/>
                <w:szCs w:val="20"/>
              </w:rPr>
            </w:pPr>
            <w:r>
              <w:rPr>
                <w:rFonts w:ascii="Arial" w:eastAsia="Arial" w:hAnsi="Arial" w:cs="Arial"/>
                <w:sz w:val="20"/>
                <w:szCs w:val="20"/>
              </w:rPr>
              <w:t xml:space="preserve">Universidad de Costa Rica, 10: </w:t>
            </w:r>
            <w:r>
              <w:rPr>
                <w:rFonts w:ascii="Arial" w:eastAsia="Arial" w:hAnsi="Arial" w:cs="Arial"/>
                <w:sz w:val="20"/>
                <w:szCs w:val="20"/>
              </w:rPr>
              <w:t>89-115, 2019 ISSN: 2215-2873</w:t>
            </w:r>
          </w:p>
        </w:tc>
        <w:tc>
          <w:tcPr>
            <w:tcW w:w="1460" w:type="dxa"/>
            <w:vMerge/>
            <w:vAlign w:val="bottom"/>
          </w:tcPr>
          <w:p w14:paraId="78AE95B9" w14:textId="77777777" w:rsidR="00EF26BC" w:rsidRDefault="00EF26BC">
            <w:pPr>
              <w:rPr>
                <w:sz w:val="23"/>
                <w:szCs w:val="23"/>
              </w:rPr>
            </w:pPr>
          </w:p>
        </w:tc>
        <w:tc>
          <w:tcPr>
            <w:tcW w:w="0" w:type="dxa"/>
            <w:vAlign w:val="bottom"/>
          </w:tcPr>
          <w:p w14:paraId="78AE95BA" w14:textId="77777777" w:rsidR="00EF26BC" w:rsidRDefault="00EF26BC">
            <w:pPr>
              <w:rPr>
                <w:sz w:val="1"/>
                <w:szCs w:val="1"/>
              </w:rPr>
            </w:pPr>
          </w:p>
        </w:tc>
      </w:tr>
    </w:tbl>
    <w:p w14:paraId="78AE95BC" w14:textId="77777777" w:rsidR="00EF26BC" w:rsidRDefault="00EF26BC">
      <w:pPr>
        <w:sectPr w:rsidR="00EF26BC">
          <w:pgSz w:w="12240" w:h="15840"/>
          <w:pgMar w:top="714" w:right="580" w:bottom="112" w:left="1440" w:header="0" w:footer="0" w:gutter="0"/>
          <w:cols w:space="720" w:equalWidth="0">
            <w:col w:w="10220"/>
          </w:cols>
        </w:sectPr>
      </w:pPr>
    </w:p>
    <w:p w14:paraId="78AE95BD" w14:textId="77777777" w:rsidR="00EF26BC" w:rsidRDefault="00343DF1">
      <w:pPr>
        <w:ind w:left="2960"/>
        <w:rPr>
          <w:sz w:val="20"/>
          <w:szCs w:val="20"/>
        </w:rPr>
      </w:pPr>
      <w:bookmarkStart w:id="8" w:name="page9"/>
      <w:bookmarkEnd w:id="8"/>
      <w:r>
        <w:rPr>
          <w:rFonts w:ascii="Arial" w:eastAsia="Arial" w:hAnsi="Arial" w:cs="Arial"/>
          <w:sz w:val="20"/>
          <w:szCs w:val="20"/>
        </w:rPr>
        <w:lastRenderedPageBreak/>
        <w:t>Violencia contra las mujeres y femicidio</w:t>
      </w:r>
    </w:p>
    <w:p w14:paraId="78AE95BE" w14:textId="77777777" w:rsidR="00EF26BC" w:rsidRDefault="00EF26BC">
      <w:pPr>
        <w:spacing w:line="200" w:lineRule="exact"/>
        <w:rPr>
          <w:sz w:val="20"/>
          <w:szCs w:val="20"/>
        </w:rPr>
      </w:pPr>
    </w:p>
    <w:p w14:paraId="78AE95BF" w14:textId="77777777" w:rsidR="00EF26BC" w:rsidRDefault="00EF26BC">
      <w:pPr>
        <w:spacing w:line="200" w:lineRule="exact"/>
        <w:rPr>
          <w:sz w:val="20"/>
          <w:szCs w:val="20"/>
        </w:rPr>
      </w:pPr>
    </w:p>
    <w:p w14:paraId="78AE95C0" w14:textId="77777777" w:rsidR="00EF26BC" w:rsidRDefault="00EF26BC">
      <w:pPr>
        <w:spacing w:line="200" w:lineRule="exact"/>
        <w:rPr>
          <w:sz w:val="20"/>
          <w:szCs w:val="20"/>
        </w:rPr>
      </w:pPr>
    </w:p>
    <w:p w14:paraId="78AE95C1" w14:textId="77777777" w:rsidR="00EF26BC" w:rsidRDefault="00EF26BC">
      <w:pPr>
        <w:spacing w:line="306" w:lineRule="exact"/>
        <w:rPr>
          <w:sz w:val="20"/>
          <w:szCs w:val="20"/>
        </w:rPr>
      </w:pPr>
    </w:p>
    <w:p w14:paraId="78AE95C2" w14:textId="77777777" w:rsidR="00EF26BC" w:rsidRDefault="00343DF1">
      <w:pPr>
        <w:ind w:right="860"/>
        <w:jc w:val="center"/>
        <w:rPr>
          <w:sz w:val="20"/>
          <w:szCs w:val="20"/>
        </w:rPr>
      </w:pPr>
      <w:r>
        <w:rPr>
          <w:rFonts w:eastAsia="Times New Roman"/>
          <w:b/>
          <w:bCs/>
        </w:rPr>
        <w:t>Infografía N°1.</w:t>
      </w:r>
    </w:p>
    <w:p w14:paraId="78AE95C3" w14:textId="77777777" w:rsidR="00EF26BC" w:rsidRDefault="00EF26BC">
      <w:pPr>
        <w:spacing w:line="102" w:lineRule="exact"/>
        <w:rPr>
          <w:sz w:val="20"/>
          <w:szCs w:val="20"/>
        </w:rPr>
      </w:pPr>
    </w:p>
    <w:p w14:paraId="78AE95C4" w14:textId="77777777" w:rsidR="00EF26BC" w:rsidRDefault="00343DF1">
      <w:pPr>
        <w:ind w:right="800"/>
        <w:jc w:val="center"/>
        <w:rPr>
          <w:sz w:val="20"/>
          <w:szCs w:val="20"/>
        </w:rPr>
      </w:pPr>
      <w:r>
        <w:rPr>
          <w:rFonts w:eastAsia="Times New Roman"/>
          <w:b/>
          <w:bCs/>
        </w:rPr>
        <w:t>Número y tasa de femicidios a nivel global, por continente</w:t>
      </w:r>
    </w:p>
    <w:p w14:paraId="78AE95C5" w14:textId="77777777" w:rsidR="00EF26BC" w:rsidRDefault="00343DF1">
      <w:pPr>
        <w:spacing w:line="20" w:lineRule="exact"/>
        <w:rPr>
          <w:sz w:val="20"/>
          <w:szCs w:val="20"/>
        </w:rPr>
      </w:pPr>
      <w:r>
        <w:rPr>
          <w:noProof/>
          <w:sz w:val="20"/>
          <w:szCs w:val="20"/>
        </w:rPr>
        <w:drawing>
          <wp:anchor distT="0" distB="0" distL="114300" distR="114300" simplePos="0" relativeHeight="251653120" behindDoc="1" locked="0" layoutInCell="0" allowOverlap="1" wp14:anchorId="78AE9C35" wp14:editId="78AE9C36">
            <wp:simplePos x="0" y="0"/>
            <wp:positionH relativeFrom="column">
              <wp:posOffset>690880</wp:posOffset>
            </wp:positionH>
            <wp:positionV relativeFrom="paragraph">
              <wp:posOffset>45085</wp:posOffset>
            </wp:positionV>
            <wp:extent cx="4545965" cy="26657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545965" cy="2665730"/>
                    </a:xfrm>
                    <a:prstGeom prst="rect">
                      <a:avLst/>
                    </a:prstGeom>
                    <a:noFill/>
                  </pic:spPr>
                </pic:pic>
              </a:graphicData>
            </a:graphic>
          </wp:anchor>
        </w:drawing>
      </w:r>
    </w:p>
    <w:p w14:paraId="78AE95C6" w14:textId="77777777" w:rsidR="00EF26BC" w:rsidRDefault="00EF26BC">
      <w:pPr>
        <w:spacing w:line="200" w:lineRule="exact"/>
        <w:rPr>
          <w:sz w:val="20"/>
          <w:szCs w:val="20"/>
        </w:rPr>
      </w:pPr>
    </w:p>
    <w:p w14:paraId="78AE95C7" w14:textId="77777777" w:rsidR="00EF26BC" w:rsidRDefault="00EF26BC">
      <w:pPr>
        <w:spacing w:line="200" w:lineRule="exact"/>
        <w:rPr>
          <w:sz w:val="20"/>
          <w:szCs w:val="20"/>
        </w:rPr>
      </w:pPr>
    </w:p>
    <w:p w14:paraId="78AE95C8" w14:textId="77777777" w:rsidR="00EF26BC" w:rsidRDefault="00EF26BC">
      <w:pPr>
        <w:spacing w:line="375" w:lineRule="exact"/>
        <w:rPr>
          <w:sz w:val="20"/>
          <w:szCs w:val="20"/>
        </w:rPr>
      </w:pPr>
    </w:p>
    <w:p w14:paraId="78AE95C9" w14:textId="77777777" w:rsidR="00EF26BC" w:rsidRDefault="00343DF1">
      <w:pPr>
        <w:ind w:left="4960"/>
        <w:rPr>
          <w:sz w:val="20"/>
          <w:szCs w:val="20"/>
        </w:rPr>
      </w:pPr>
      <w:r>
        <w:rPr>
          <w:rFonts w:ascii="Calibri" w:eastAsia="Calibri" w:hAnsi="Calibri" w:cs="Calibri"/>
          <w:color w:val="FFFFFF"/>
          <w:sz w:val="9"/>
          <w:szCs w:val="9"/>
        </w:rPr>
        <w:t>0,7</w:t>
      </w:r>
    </w:p>
    <w:p w14:paraId="78AE95CA" w14:textId="77777777" w:rsidR="00EF26BC" w:rsidRDefault="00EF26BC">
      <w:pPr>
        <w:spacing w:line="114" w:lineRule="exact"/>
        <w:rPr>
          <w:sz w:val="20"/>
          <w:szCs w:val="20"/>
        </w:rPr>
      </w:pPr>
    </w:p>
    <w:p w14:paraId="78AE95CB" w14:textId="77777777" w:rsidR="00EF26BC" w:rsidRDefault="00343DF1">
      <w:pPr>
        <w:ind w:left="5280"/>
        <w:rPr>
          <w:sz w:val="20"/>
          <w:szCs w:val="20"/>
        </w:rPr>
      </w:pPr>
      <w:r>
        <w:rPr>
          <w:rFonts w:ascii="Calibri" w:eastAsia="Calibri" w:hAnsi="Calibri" w:cs="Calibri"/>
          <w:b/>
          <w:bCs/>
          <w:sz w:val="9"/>
          <w:szCs w:val="9"/>
        </w:rPr>
        <w:t>3.000</w:t>
      </w:r>
    </w:p>
    <w:p w14:paraId="78AE95CC" w14:textId="77777777" w:rsidR="00EF26BC" w:rsidRDefault="00EF26BC">
      <w:pPr>
        <w:spacing w:line="54" w:lineRule="exact"/>
        <w:rPr>
          <w:sz w:val="20"/>
          <w:szCs w:val="20"/>
        </w:rPr>
      </w:pPr>
    </w:p>
    <w:p w14:paraId="78AE95CD" w14:textId="77777777" w:rsidR="00EF26BC" w:rsidRDefault="00343DF1">
      <w:pPr>
        <w:ind w:left="6160"/>
        <w:rPr>
          <w:sz w:val="20"/>
          <w:szCs w:val="20"/>
        </w:rPr>
      </w:pPr>
      <w:r>
        <w:rPr>
          <w:rFonts w:ascii="Calibri" w:eastAsia="Calibri" w:hAnsi="Calibri" w:cs="Calibri"/>
          <w:color w:val="FFFFFF"/>
          <w:sz w:val="9"/>
          <w:szCs w:val="9"/>
        </w:rPr>
        <w:t>0,9</w:t>
      </w:r>
    </w:p>
    <w:p w14:paraId="78AE95CE" w14:textId="77777777" w:rsidR="00EF26BC" w:rsidRDefault="00EF26BC">
      <w:pPr>
        <w:spacing w:line="119" w:lineRule="exact"/>
        <w:rPr>
          <w:sz w:val="20"/>
          <w:szCs w:val="20"/>
        </w:rPr>
      </w:pPr>
    </w:p>
    <w:p w14:paraId="78AE95CF" w14:textId="77777777" w:rsidR="00EF26BC" w:rsidRDefault="00343DF1">
      <w:pPr>
        <w:ind w:left="6440"/>
        <w:rPr>
          <w:sz w:val="20"/>
          <w:szCs w:val="20"/>
        </w:rPr>
      </w:pPr>
      <w:r>
        <w:rPr>
          <w:rFonts w:ascii="Calibri" w:eastAsia="Calibri" w:hAnsi="Calibri" w:cs="Calibri"/>
          <w:b/>
          <w:bCs/>
          <w:sz w:val="9"/>
          <w:szCs w:val="9"/>
        </w:rPr>
        <w:t>20.000</w:t>
      </w:r>
    </w:p>
    <w:p w14:paraId="78AE95D0" w14:textId="77777777" w:rsidR="00EF26BC" w:rsidRDefault="00EF26BC">
      <w:pPr>
        <w:spacing w:line="221" w:lineRule="exact"/>
        <w:rPr>
          <w:sz w:val="20"/>
          <w:szCs w:val="20"/>
        </w:rPr>
      </w:pPr>
    </w:p>
    <w:p w14:paraId="78AE95D1" w14:textId="77777777" w:rsidR="00EF26BC" w:rsidRDefault="00343DF1">
      <w:pPr>
        <w:ind w:left="2140"/>
        <w:rPr>
          <w:sz w:val="20"/>
          <w:szCs w:val="20"/>
        </w:rPr>
      </w:pPr>
      <w:r>
        <w:rPr>
          <w:rFonts w:ascii="Calibri" w:eastAsia="Calibri" w:hAnsi="Calibri" w:cs="Calibri"/>
          <w:color w:val="FFFFFF"/>
          <w:sz w:val="10"/>
          <w:szCs w:val="10"/>
        </w:rPr>
        <w:t>1,6</w:t>
      </w:r>
    </w:p>
    <w:p w14:paraId="78AE95D2" w14:textId="77777777" w:rsidR="00EF26BC" w:rsidRDefault="00EF26BC">
      <w:pPr>
        <w:spacing w:line="59" w:lineRule="exact"/>
        <w:rPr>
          <w:sz w:val="20"/>
          <w:szCs w:val="20"/>
        </w:rPr>
      </w:pPr>
    </w:p>
    <w:p w14:paraId="78AE95D3" w14:textId="77777777" w:rsidR="00EF26BC" w:rsidRDefault="00343DF1">
      <w:pPr>
        <w:ind w:left="4560"/>
        <w:rPr>
          <w:sz w:val="20"/>
          <w:szCs w:val="20"/>
        </w:rPr>
      </w:pPr>
      <w:r>
        <w:rPr>
          <w:rFonts w:ascii="Calibri" w:eastAsia="Calibri" w:hAnsi="Calibri" w:cs="Calibri"/>
          <w:color w:val="FFFFFF"/>
          <w:sz w:val="10"/>
          <w:szCs w:val="10"/>
        </w:rPr>
        <w:t>3,1</w:t>
      </w:r>
    </w:p>
    <w:p w14:paraId="78AE95D4" w14:textId="77777777" w:rsidR="00EF26BC" w:rsidRDefault="00EF26BC">
      <w:pPr>
        <w:spacing w:line="6" w:lineRule="exact"/>
        <w:rPr>
          <w:sz w:val="20"/>
          <w:szCs w:val="20"/>
        </w:rPr>
      </w:pPr>
    </w:p>
    <w:p w14:paraId="78AE95D5" w14:textId="77777777" w:rsidR="00EF26BC" w:rsidRDefault="00343DF1">
      <w:pPr>
        <w:ind w:left="2540"/>
        <w:rPr>
          <w:sz w:val="20"/>
          <w:szCs w:val="20"/>
        </w:rPr>
      </w:pPr>
      <w:r>
        <w:rPr>
          <w:rFonts w:ascii="Calibri" w:eastAsia="Calibri" w:hAnsi="Calibri" w:cs="Calibri"/>
          <w:b/>
          <w:bCs/>
          <w:sz w:val="10"/>
          <w:szCs w:val="10"/>
        </w:rPr>
        <w:t>8.000</w:t>
      </w:r>
    </w:p>
    <w:p w14:paraId="78AE95D6" w14:textId="77777777" w:rsidR="00EF26BC" w:rsidRDefault="00EF26BC">
      <w:pPr>
        <w:spacing w:line="128" w:lineRule="exact"/>
        <w:rPr>
          <w:sz w:val="20"/>
          <w:szCs w:val="20"/>
        </w:rPr>
      </w:pPr>
    </w:p>
    <w:p w14:paraId="78AE95D7" w14:textId="77777777" w:rsidR="00EF26BC" w:rsidRDefault="00343DF1">
      <w:pPr>
        <w:ind w:left="4940"/>
        <w:rPr>
          <w:sz w:val="20"/>
          <w:szCs w:val="20"/>
        </w:rPr>
      </w:pPr>
      <w:r>
        <w:rPr>
          <w:rFonts w:ascii="Calibri" w:eastAsia="Calibri" w:hAnsi="Calibri" w:cs="Calibri"/>
          <w:b/>
          <w:bCs/>
          <w:sz w:val="10"/>
          <w:szCs w:val="10"/>
        </w:rPr>
        <w:t>19.000</w:t>
      </w:r>
    </w:p>
    <w:p w14:paraId="78AE95D8" w14:textId="77777777" w:rsidR="00EF26BC" w:rsidRDefault="00EF26BC">
      <w:pPr>
        <w:spacing w:line="200" w:lineRule="exact"/>
        <w:rPr>
          <w:sz w:val="20"/>
          <w:szCs w:val="20"/>
        </w:rPr>
      </w:pPr>
    </w:p>
    <w:p w14:paraId="78AE95D9" w14:textId="77777777" w:rsidR="00EF26BC" w:rsidRDefault="00EF26BC">
      <w:pPr>
        <w:spacing w:line="342" w:lineRule="exact"/>
        <w:rPr>
          <w:sz w:val="20"/>
          <w:szCs w:val="20"/>
        </w:rPr>
      </w:pPr>
    </w:p>
    <w:p w14:paraId="78AE95DA" w14:textId="77777777" w:rsidR="00EF26BC" w:rsidRDefault="00343DF1">
      <w:pPr>
        <w:ind w:left="7380"/>
        <w:rPr>
          <w:sz w:val="20"/>
          <w:szCs w:val="20"/>
        </w:rPr>
      </w:pPr>
      <w:r>
        <w:rPr>
          <w:rFonts w:ascii="Calibri" w:eastAsia="Calibri" w:hAnsi="Calibri" w:cs="Calibri"/>
          <w:color w:val="FFFFFF"/>
          <w:sz w:val="9"/>
          <w:szCs w:val="9"/>
        </w:rPr>
        <w:t>1,3</w:t>
      </w:r>
    </w:p>
    <w:p w14:paraId="78AE95DB" w14:textId="77777777" w:rsidR="00EF26BC" w:rsidRDefault="00EF26BC">
      <w:pPr>
        <w:spacing w:line="123" w:lineRule="exact"/>
        <w:rPr>
          <w:sz w:val="20"/>
          <w:szCs w:val="20"/>
        </w:rPr>
      </w:pPr>
    </w:p>
    <w:p w14:paraId="78AE95DC" w14:textId="77777777" w:rsidR="00EF26BC" w:rsidRDefault="00343DF1">
      <w:pPr>
        <w:ind w:left="7700"/>
        <w:rPr>
          <w:sz w:val="20"/>
          <w:szCs w:val="20"/>
        </w:rPr>
      </w:pPr>
      <w:r>
        <w:rPr>
          <w:rFonts w:ascii="Calibri" w:eastAsia="Calibri" w:hAnsi="Calibri" w:cs="Calibri"/>
          <w:b/>
          <w:bCs/>
          <w:sz w:val="9"/>
          <w:szCs w:val="9"/>
        </w:rPr>
        <w:t>300</w:t>
      </w:r>
    </w:p>
    <w:p w14:paraId="78AE95DD" w14:textId="77777777" w:rsidR="00EF26BC" w:rsidRDefault="00EF26BC">
      <w:pPr>
        <w:spacing w:line="83" w:lineRule="exact"/>
        <w:rPr>
          <w:sz w:val="20"/>
          <w:szCs w:val="20"/>
        </w:rPr>
      </w:pPr>
    </w:p>
    <w:p w14:paraId="78AE95DE" w14:textId="77777777" w:rsidR="00EF26BC" w:rsidRDefault="00343DF1">
      <w:pPr>
        <w:ind w:left="7880"/>
        <w:rPr>
          <w:sz w:val="20"/>
          <w:szCs w:val="20"/>
        </w:rPr>
      </w:pPr>
      <w:r>
        <w:rPr>
          <w:rFonts w:ascii="Calibri" w:eastAsia="Calibri" w:hAnsi="Calibri" w:cs="Calibri"/>
          <w:color w:val="FFFFFF"/>
          <w:sz w:val="9"/>
          <w:szCs w:val="9"/>
        </w:rPr>
        <w:t>300</w:t>
      </w:r>
    </w:p>
    <w:p w14:paraId="78AE95DF" w14:textId="77777777" w:rsidR="00EF26BC" w:rsidRDefault="00EF26BC">
      <w:pPr>
        <w:spacing w:line="249" w:lineRule="exact"/>
        <w:rPr>
          <w:sz w:val="20"/>
          <w:szCs w:val="20"/>
        </w:rPr>
      </w:pPr>
    </w:p>
    <w:p w14:paraId="78AE95E0" w14:textId="77777777" w:rsidR="00EF26BC" w:rsidRDefault="00343DF1">
      <w:pPr>
        <w:ind w:right="1740"/>
        <w:jc w:val="right"/>
        <w:rPr>
          <w:sz w:val="20"/>
          <w:szCs w:val="20"/>
        </w:rPr>
      </w:pPr>
      <w:r>
        <w:rPr>
          <w:rFonts w:ascii="Calibri" w:eastAsia="Calibri" w:hAnsi="Calibri" w:cs="Calibri"/>
          <w:sz w:val="14"/>
          <w:szCs w:val="14"/>
        </w:rPr>
        <w:t xml:space="preserve">Número de </w:t>
      </w:r>
      <w:r>
        <w:rPr>
          <w:rFonts w:ascii="Calibri" w:eastAsia="Calibri" w:hAnsi="Calibri" w:cs="Calibri"/>
          <w:sz w:val="14"/>
          <w:szCs w:val="14"/>
        </w:rPr>
        <w:t>víctimas de femicidio a nivel mundial: 50.000</w:t>
      </w:r>
    </w:p>
    <w:p w14:paraId="78AE95E1" w14:textId="77777777" w:rsidR="00EF26BC" w:rsidRDefault="00EF26BC">
      <w:pPr>
        <w:spacing w:line="158" w:lineRule="exact"/>
        <w:rPr>
          <w:sz w:val="20"/>
          <w:szCs w:val="20"/>
        </w:rPr>
      </w:pPr>
    </w:p>
    <w:p w14:paraId="78AE95E2" w14:textId="77777777" w:rsidR="00EF26BC" w:rsidRDefault="00343DF1">
      <w:pPr>
        <w:ind w:right="1740"/>
        <w:jc w:val="right"/>
        <w:rPr>
          <w:sz w:val="20"/>
          <w:szCs w:val="20"/>
        </w:rPr>
      </w:pPr>
      <w:r>
        <w:rPr>
          <w:rFonts w:ascii="Calibri" w:eastAsia="Calibri" w:hAnsi="Calibri" w:cs="Calibri"/>
          <w:sz w:val="14"/>
          <w:szCs w:val="14"/>
        </w:rPr>
        <w:t>Tasa x 100.000 habitantes de femicidios a nivel mundial: 1,3</w:t>
      </w:r>
    </w:p>
    <w:p w14:paraId="78AE95E3" w14:textId="77777777" w:rsidR="00EF26BC" w:rsidRDefault="00EF26BC">
      <w:pPr>
        <w:spacing w:line="119" w:lineRule="exact"/>
        <w:rPr>
          <w:sz w:val="20"/>
          <w:szCs w:val="20"/>
        </w:rPr>
      </w:pPr>
    </w:p>
    <w:p w14:paraId="78AE95E4" w14:textId="77777777" w:rsidR="00EF26BC" w:rsidRDefault="00343DF1">
      <w:pPr>
        <w:ind w:left="820"/>
        <w:rPr>
          <w:sz w:val="20"/>
          <w:szCs w:val="20"/>
        </w:rPr>
      </w:pPr>
      <w:r>
        <w:rPr>
          <w:rFonts w:eastAsia="Times New Roman"/>
        </w:rPr>
        <w:t>Fuente: Elaboración propia con base en UNODC, 2019.</w:t>
      </w:r>
    </w:p>
    <w:p w14:paraId="78AE95E5" w14:textId="77777777" w:rsidR="00EF26BC" w:rsidRDefault="00EF26BC">
      <w:pPr>
        <w:spacing w:line="200" w:lineRule="exact"/>
        <w:rPr>
          <w:sz w:val="20"/>
          <w:szCs w:val="20"/>
        </w:rPr>
      </w:pPr>
    </w:p>
    <w:p w14:paraId="78AE95E6" w14:textId="77777777" w:rsidR="00EF26BC" w:rsidRDefault="00EF26BC">
      <w:pPr>
        <w:spacing w:line="200" w:lineRule="exact"/>
        <w:rPr>
          <w:sz w:val="20"/>
          <w:szCs w:val="20"/>
        </w:rPr>
      </w:pPr>
    </w:p>
    <w:p w14:paraId="78AE95E7" w14:textId="77777777" w:rsidR="00EF26BC" w:rsidRDefault="00EF26BC">
      <w:pPr>
        <w:spacing w:line="274" w:lineRule="exact"/>
        <w:rPr>
          <w:sz w:val="20"/>
          <w:szCs w:val="20"/>
        </w:rPr>
      </w:pPr>
    </w:p>
    <w:p w14:paraId="78AE95E8" w14:textId="77777777" w:rsidR="00EF26BC" w:rsidRDefault="00343DF1">
      <w:pPr>
        <w:spacing w:line="253" w:lineRule="auto"/>
        <w:ind w:left="820" w:right="1680"/>
        <w:jc w:val="both"/>
        <w:rPr>
          <w:sz w:val="20"/>
          <w:szCs w:val="20"/>
        </w:rPr>
      </w:pPr>
      <w:r>
        <w:rPr>
          <w:rFonts w:eastAsia="Times New Roman"/>
          <w:sz w:val="24"/>
          <w:szCs w:val="24"/>
        </w:rPr>
        <w:t xml:space="preserve">Las causas más comunes de los homicidios de mujeres son la violencia doméstica, la </w:t>
      </w:r>
      <w:r>
        <w:rPr>
          <w:rFonts w:eastAsia="Times New Roman"/>
          <w:sz w:val="24"/>
          <w:szCs w:val="24"/>
        </w:rPr>
        <w:t>violencia sexual y los llamados “conflictos de pareja”, siendo la violencia por género la razón de más de la mitad de los homicidios de las mujeres (Sagot y Carcedo, 2000).</w:t>
      </w:r>
    </w:p>
    <w:p w14:paraId="78AE95E9" w14:textId="77777777" w:rsidR="00EF26BC" w:rsidRDefault="00EF26BC">
      <w:pPr>
        <w:spacing w:line="137" w:lineRule="exact"/>
        <w:rPr>
          <w:sz w:val="20"/>
          <w:szCs w:val="20"/>
        </w:rPr>
      </w:pPr>
    </w:p>
    <w:p w14:paraId="78AE95EA" w14:textId="77777777" w:rsidR="00EF26BC" w:rsidRDefault="00343DF1">
      <w:pPr>
        <w:spacing w:line="247" w:lineRule="auto"/>
        <w:ind w:left="820" w:right="1680"/>
        <w:jc w:val="both"/>
        <w:rPr>
          <w:sz w:val="20"/>
          <w:szCs w:val="20"/>
        </w:rPr>
      </w:pPr>
      <w:r>
        <w:rPr>
          <w:rFonts w:eastAsia="Times New Roman"/>
          <w:sz w:val="24"/>
          <w:szCs w:val="24"/>
        </w:rPr>
        <w:t>La violencia doméstica o intrafamiliar refiere a cualquier acto u omisión, directa</w:t>
      </w:r>
      <w:r>
        <w:rPr>
          <w:rFonts w:eastAsia="Times New Roman"/>
          <w:sz w:val="24"/>
          <w:szCs w:val="24"/>
        </w:rPr>
        <w:t xml:space="preserve"> o indirecta, llevada a cabo por algún integrante de la familia (por consanguinidad, afinidad o adopción hasta tercer grado inclusive) y cualquier condición que resulte de estos hechos que priven a otro integrante de iguales derechos o libertades, así como</w:t>
      </w:r>
      <w:r>
        <w:rPr>
          <w:rFonts w:eastAsia="Times New Roman"/>
          <w:sz w:val="24"/>
          <w:szCs w:val="24"/>
        </w:rPr>
        <w:t xml:space="preserve"> hechos que interfieran con su desarrollo y libertad de elegir. Incluye el abuso de carácter psicológico, sexual, físico o patrimonial (Piedra y Esquivel, 2012).</w:t>
      </w:r>
    </w:p>
    <w:p w14:paraId="78AE95EB" w14:textId="77777777" w:rsidR="00EF26BC" w:rsidRDefault="00EF26BC">
      <w:pPr>
        <w:spacing w:line="148" w:lineRule="exact"/>
        <w:rPr>
          <w:sz w:val="20"/>
          <w:szCs w:val="20"/>
        </w:rPr>
      </w:pPr>
    </w:p>
    <w:p w14:paraId="78AE95EC" w14:textId="77777777" w:rsidR="00EF26BC" w:rsidRDefault="00343DF1">
      <w:pPr>
        <w:spacing w:line="257" w:lineRule="auto"/>
        <w:ind w:left="820" w:right="1680"/>
        <w:jc w:val="both"/>
        <w:rPr>
          <w:sz w:val="20"/>
          <w:szCs w:val="20"/>
        </w:rPr>
      </w:pPr>
      <w:r>
        <w:rPr>
          <w:rFonts w:eastAsia="Times New Roman"/>
          <w:sz w:val="23"/>
          <w:szCs w:val="23"/>
        </w:rPr>
        <w:t xml:space="preserve">Este tipo de violencia es cometido con mayor frecuencia en contra de poblaciones </w:t>
      </w:r>
      <w:r>
        <w:rPr>
          <w:rFonts w:eastAsia="Times New Roman"/>
          <w:sz w:val="23"/>
          <w:szCs w:val="23"/>
        </w:rPr>
        <w:t>vulnerables como niñas y niños, adolescentes, mujeres, personas adultas mayores o con alguna discapacidad y en menor proporción contra hombres adultos. Según el Instituto Nacional de las Mujeres (2020) los conceptos de violencia doméstica e intrafamiliar n</w:t>
      </w:r>
      <w:r>
        <w:rPr>
          <w:rFonts w:eastAsia="Times New Roman"/>
          <w:sz w:val="23"/>
          <w:szCs w:val="23"/>
        </w:rPr>
        <w:t>o tienen el mismo significado, aunque estos se utilicen como sinónimos en muchos de los casos, su diferencia reside en que la violencia doméstica ocurre contra familiares que viven en el mismo hogar y la violencia intrafamiliar contra familiares que no con</w:t>
      </w:r>
      <w:r>
        <w:rPr>
          <w:rFonts w:eastAsia="Times New Roman"/>
          <w:sz w:val="23"/>
          <w:szCs w:val="23"/>
        </w:rPr>
        <w:t>viven en un mismo espacio físico.</w:t>
      </w:r>
    </w:p>
    <w:p w14:paraId="78AE95ED" w14:textId="77777777" w:rsidR="00EF26BC" w:rsidRDefault="00EF26BC">
      <w:pPr>
        <w:spacing w:line="200" w:lineRule="exact"/>
        <w:rPr>
          <w:sz w:val="20"/>
          <w:szCs w:val="20"/>
        </w:rPr>
      </w:pPr>
    </w:p>
    <w:p w14:paraId="78AE95EE" w14:textId="77777777" w:rsidR="00EF26BC" w:rsidRDefault="00EF26BC">
      <w:pPr>
        <w:spacing w:line="200" w:lineRule="exact"/>
        <w:rPr>
          <w:sz w:val="20"/>
          <w:szCs w:val="20"/>
        </w:rPr>
      </w:pPr>
    </w:p>
    <w:p w14:paraId="78AE95EF" w14:textId="77777777" w:rsidR="00EF26BC" w:rsidRDefault="00EF26BC">
      <w:pPr>
        <w:spacing w:line="200" w:lineRule="exact"/>
        <w:rPr>
          <w:sz w:val="20"/>
          <w:szCs w:val="20"/>
        </w:rPr>
      </w:pPr>
    </w:p>
    <w:p w14:paraId="78AE95F0" w14:textId="77777777" w:rsidR="00EF26BC" w:rsidRDefault="00EF26BC">
      <w:pPr>
        <w:spacing w:line="200" w:lineRule="exact"/>
        <w:rPr>
          <w:sz w:val="20"/>
          <w:szCs w:val="20"/>
        </w:rPr>
      </w:pPr>
    </w:p>
    <w:p w14:paraId="78AE95F1" w14:textId="77777777" w:rsidR="00EF26BC" w:rsidRDefault="00EF26BC">
      <w:pPr>
        <w:spacing w:line="398"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460"/>
        <w:gridCol w:w="20"/>
      </w:tblGrid>
      <w:tr w:rsidR="00EF26BC" w14:paraId="78AE95F5" w14:textId="77777777">
        <w:trPr>
          <w:trHeight w:val="240"/>
        </w:trPr>
        <w:tc>
          <w:tcPr>
            <w:tcW w:w="6920" w:type="dxa"/>
            <w:vAlign w:val="bottom"/>
          </w:tcPr>
          <w:p w14:paraId="78AE95F2"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5F3" w14:textId="77777777" w:rsidR="00EF26BC" w:rsidRDefault="00343DF1">
            <w:pPr>
              <w:jc w:val="right"/>
              <w:rPr>
                <w:sz w:val="20"/>
                <w:szCs w:val="20"/>
              </w:rPr>
            </w:pPr>
            <w:r>
              <w:rPr>
                <w:rFonts w:ascii="Arial" w:eastAsia="Arial" w:hAnsi="Arial" w:cs="Arial"/>
              </w:rPr>
              <w:t>97</w:t>
            </w:r>
          </w:p>
        </w:tc>
        <w:tc>
          <w:tcPr>
            <w:tcW w:w="0" w:type="dxa"/>
            <w:vAlign w:val="bottom"/>
          </w:tcPr>
          <w:p w14:paraId="78AE95F4" w14:textId="77777777" w:rsidR="00EF26BC" w:rsidRDefault="00EF26BC">
            <w:pPr>
              <w:rPr>
                <w:sz w:val="1"/>
                <w:szCs w:val="1"/>
              </w:rPr>
            </w:pPr>
          </w:p>
        </w:tc>
      </w:tr>
      <w:tr w:rsidR="00EF26BC" w14:paraId="78AE95F9" w14:textId="77777777">
        <w:trPr>
          <w:trHeight w:val="260"/>
        </w:trPr>
        <w:tc>
          <w:tcPr>
            <w:tcW w:w="6920" w:type="dxa"/>
            <w:vAlign w:val="bottom"/>
          </w:tcPr>
          <w:p w14:paraId="78AE95F6"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5F7" w14:textId="77777777" w:rsidR="00EF26BC" w:rsidRDefault="00EF26BC"/>
        </w:tc>
        <w:tc>
          <w:tcPr>
            <w:tcW w:w="0" w:type="dxa"/>
            <w:vAlign w:val="bottom"/>
          </w:tcPr>
          <w:p w14:paraId="78AE95F8" w14:textId="77777777" w:rsidR="00EF26BC" w:rsidRDefault="00EF26BC">
            <w:pPr>
              <w:rPr>
                <w:sz w:val="1"/>
                <w:szCs w:val="1"/>
              </w:rPr>
            </w:pPr>
          </w:p>
        </w:tc>
      </w:tr>
    </w:tbl>
    <w:p w14:paraId="78AE95FA" w14:textId="77777777" w:rsidR="00EF26BC" w:rsidRDefault="00EF26BC">
      <w:pPr>
        <w:sectPr w:rsidR="00EF26BC">
          <w:pgSz w:w="12240" w:h="15840"/>
          <w:pgMar w:top="714" w:right="600" w:bottom="121" w:left="1440" w:header="0" w:footer="0" w:gutter="0"/>
          <w:cols w:space="720" w:equalWidth="0">
            <w:col w:w="10200"/>
          </w:cols>
        </w:sectPr>
      </w:pPr>
    </w:p>
    <w:p w14:paraId="78AE95FB" w14:textId="77777777" w:rsidR="00EF26BC" w:rsidRDefault="00343DF1">
      <w:pPr>
        <w:ind w:left="3700"/>
        <w:rPr>
          <w:sz w:val="20"/>
          <w:szCs w:val="20"/>
        </w:rPr>
      </w:pPr>
      <w:bookmarkStart w:id="9" w:name="page10"/>
      <w:bookmarkEnd w:id="9"/>
      <w:r>
        <w:rPr>
          <w:rFonts w:ascii="Arial" w:eastAsia="Arial" w:hAnsi="Arial" w:cs="Arial"/>
          <w:sz w:val="20"/>
          <w:szCs w:val="20"/>
        </w:rPr>
        <w:lastRenderedPageBreak/>
        <w:t>Marcela Piedra Durán</w:t>
      </w:r>
    </w:p>
    <w:p w14:paraId="78AE95FC" w14:textId="77777777" w:rsidR="00EF26BC" w:rsidRDefault="00EF26BC">
      <w:pPr>
        <w:spacing w:line="200" w:lineRule="exact"/>
        <w:rPr>
          <w:sz w:val="20"/>
          <w:szCs w:val="20"/>
        </w:rPr>
      </w:pPr>
    </w:p>
    <w:p w14:paraId="78AE95FD" w14:textId="77777777" w:rsidR="00EF26BC" w:rsidRDefault="00EF26BC">
      <w:pPr>
        <w:spacing w:line="329" w:lineRule="exact"/>
        <w:rPr>
          <w:sz w:val="20"/>
          <w:szCs w:val="20"/>
        </w:rPr>
      </w:pPr>
    </w:p>
    <w:p w14:paraId="78AE95FE" w14:textId="77777777" w:rsidR="00EF26BC" w:rsidRDefault="00343DF1">
      <w:pPr>
        <w:spacing w:line="244" w:lineRule="auto"/>
        <w:ind w:left="820" w:right="1680"/>
        <w:jc w:val="both"/>
        <w:rPr>
          <w:sz w:val="20"/>
          <w:szCs w:val="20"/>
        </w:rPr>
      </w:pPr>
      <w:r>
        <w:rPr>
          <w:rFonts w:eastAsia="Times New Roman"/>
          <w:sz w:val="26"/>
          <w:szCs w:val="26"/>
        </w:rPr>
        <w:t xml:space="preserve">Castro (2012) indica que “la violencia </w:t>
      </w:r>
      <w:r>
        <w:rPr>
          <w:rFonts w:eastAsia="Times New Roman"/>
          <w:sz w:val="26"/>
          <w:szCs w:val="26"/>
        </w:rPr>
        <w:t>doméstica no es exactamente lo mismo que la violencia intrafamiliar. La primera se refiere a la violencia que se ejerce y/o se sufre al interior del espacio doméstico, aún cuando los actores involucrados no tengan relaciones de parentesco entre sí; la segu</w:t>
      </w:r>
      <w:r>
        <w:rPr>
          <w:rFonts w:eastAsia="Times New Roman"/>
          <w:sz w:val="26"/>
          <w:szCs w:val="26"/>
        </w:rPr>
        <w:t>nda se refiere a la violencia que se ejerce y/o se sufre entre personas relacionadas por un vínculo de parentesco, independientemente del espacio físico donde la violencia tenga lugar (el hogar, la oficina, la calle, etc.). Suele haber un alto grado de coi</w:t>
      </w:r>
      <w:r>
        <w:rPr>
          <w:rFonts w:eastAsia="Times New Roman"/>
          <w:sz w:val="26"/>
          <w:szCs w:val="26"/>
        </w:rPr>
        <w:t>ncidencia o intersección entre ambos conceptos, pero no son exactamente lo mismo” (p20-21).</w:t>
      </w:r>
    </w:p>
    <w:p w14:paraId="78AE95FF" w14:textId="77777777" w:rsidR="00EF26BC" w:rsidRDefault="00EF26BC">
      <w:pPr>
        <w:spacing w:line="242" w:lineRule="exact"/>
        <w:rPr>
          <w:sz w:val="20"/>
          <w:szCs w:val="20"/>
        </w:rPr>
      </w:pPr>
    </w:p>
    <w:p w14:paraId="78AE9600" w14:textId="77777777" w:rsidR="00EF26BC" w:rsidRDefault="00343DF1">
      <w:pPr>
        <w:spacing w:line="248" w:lineRule="auto"/>
        <w:ind w:left="820" w:right="1700"/>
        <w:jc w:val="both"/>
        <w:rPr>
          <w:sz w:val="20"/>
          <w:szCs w:val="20"/>
        </w:rPr>
      </w:pPr>
      <w:r>
        <w:rPr>
          <w:rFonts w:eastAsia="Times New Roman"/>
          <w:sz w:val="24"/>
          <w:szCs w:val="24"/>
        </w:rPr>
        <w:t xml:space="preserve">Pero para su compresión, ambos conceptos comparten, en primer lugar, su carácter cíclico (se han identificado tres fases: a. la acumulación de tensión, b. el </w:t>
      </w:r>
      <w:r>
        <w:rPr>
          <w:rFonts w:eastAsia="Times New Roman"/>
          <w:sz w:val="24"/>
          <w:szCs w:val="24"/>
        </w:rPr>
        <w:t>episodio agudo cuando se da el evento de violencia y c. la denominada “luna de miel” en la que se produce el arrepentimiento y el ciclo se vuelve a iniciar). Y, en segundo lugar, su intensidad creciente, esa escalada de violencia que puede concluir en el f</w:t>
      </w:r>
      <w:r>
        <w:rPr>
          <w:rFonts w:eastAsia="Times New Roman"/>
          <w:sz w:val="24"/>
          <w:szCs w:val="24"/>
        </w:rPr>
        <w:t>emicidio o suicidio.</w:t>
      </w:r>
    </w:p>
    <w:p w14:paraId="78AE9601" w14:textId="77777777" w:rsidR="00EF26BC" w:rsidRDefault="00EF26BC">
      <w:pPr>
        <w:spacing w:line="219" w:lineRule="exact"/>
        <w:rPr>
          <w:sz w:val="20"/>
          <w:szCs w:val="20"/>
        </w:rPr>
      </w:pPr>
    </w:p>
    <w:p w14:paraId="78AE9602" w14:textId="77777777" w:rsidR="00EF26BC" w:rsidRDefault="00343DF1">
      <w:pPr>
        <w:spacing w:line="261" w:lineRule="auto"/>
        <w:ind w:left="820" w:right="1700"/>
        <w:jc w:val="both"/>
        <w:rPr>
          <w:sz w:val="20"/>
          <w:szCs w:val="20"/>
        </w:rPr>
      </w:pPr>
      <w:r>
        <w:rPr>
          <w:rFonts w:eastAsia="Times New Roman"/>
          <w:sz w:val="24"/>
          <w:szCs w:val="24"/>
        </w:rPr>
        <w:t xml:space="preserve">En Costa Rica, la cantidad de casos entrados a los Juzgados de violencia domésticas ascienden a más de 40 mil por año (periodo de 2010 al 2018), en el 2018 se registra la cifra más alta con 49.079 casos (Ver </w:t>
      </w:r>
      <w:r>
        <w:rPr>
          <w:rFonts w:eastAsia="Times New Roman"/>
          <w:b/>
          <w:bCs/>
          <w:sz w:val="24"/>
          <w:szCs w:val="24"/>
        </w:rPr>
        <w:t>gráfico N° 1</w:t>
      </w:r>
      <w:r>
        <w:rPr>
          <w:rFonts w:eastAsia="Times New Roman"/>
          <w:sz w:val="24"/>
          <w:szCs w:val="24"/>
        </w:rPr>
        <w:t>).</w:t>
      </w:r>
    </w:p>
    <w:p w14:paraId="78AE9603" w14:textId="77777777" w:rsidR="00EF26BC" w:rsidRDefault="00EF26BC">
      <w:pPr>
        <w:spacing w:line="200" w:lineRule="exact"/>
        <w:rPr>
          <w:sz w:val="20"/>
          <w:szCs w:val="20"/>
        </w:rPr>
      </w:pPr>
    </w:p>
    <w:p w14:paraId="78AE9604" w14:textId="77777777" w:rsidR="00EF26BC" w:rsidRDefault="00EF26BC">
      <w:pPr>
        <w:spacing w:line="206" w:lineRule="exact"/>
        <w:rPr>
          <w:sz w:val="20"/>
          <w:szCs w:val="20"/>
        </w:rPr>
      </w:pPr>
    </w:p>
    <w:p w14:paraId="78AE9605" w14:textId="77777777" w:rsidR="00EF26BC" w:rsidRDefault="00343DF1">
      <w:pPr>
        <w:ind w:right="880"/>
        <w:jc w:val="center"/>
        <w:rPr>
          <w:sz w:val="20"/>
          <w:szCs w:val="20"/>
        </w:rPr>
      </w:pPr>
      <w:r>
        <w:rPr>
          <w:rFonts w:eastAsia="Times New Roman"/>
          <w:b/>
          <w:bCs/>
        </w:rPr>
        <w:t>Gráfico N</w:t>
      </w:r>
      <w:r>
        <w:rPr>
          <w:rFonts w:eastAsia="Times New Roman"/>
          <w:b/>
          <w:bCs/>
        </w:rPr>
        <w:t>°1.</w:t>
      </w:r>
    </w:p>
    <w:p w14:paraId="78AE9606" w14:textId="77777777" w:rsidR="00EF26BC" w:rsidRDefault="00EF26BC">
      <w:pPr>
        <w:spacing w:line="33" w:lineRule="exact"/>
        <w:rPr>
          <w:sz w:val="20"/>
          <w:szCs w:val="20"/>
        </w:rPr>
      </w:pPr>
    </w:p>
    <w:p w14:paraId="78AE9607" w14:textId="77777777" w:rsidR="00EF26BC" w:rsidRDefault="00343DF1">
      <w:pPr>
        <w:ind w:right="820"/>
        <w:jc w:val="center"/>
        <w:rPr>
          <w:sz w:val="20"/>
          <w:szCs w:val="20"/>
        </w:rPr>
      </w:pPr>
      <w:r>
        <w:rPr>
          <w:rFonts w:eastAsia="Times New Roman"/>
          <w:b/>
          <w:bCs/>
        </w:rPr>
        <w:t>Movimiento de trabajo registrado en los juzgados de Violencia Doméstica para el</w:t>
      </w:r>
    </w:p>
    <w:p w14:paraId="78AE9608" w14:textId="77777777" w:rsidR="00EF26BC" w:rsidRDefault="00EF26BC">
      <w:pPr>
        <w:spacing w:line="1" w:lineRule="exact"/>
        <w:rPr>
          <w:sz w:val="20"/>
          <w:szCs w:val="20"/>
        </w:rPr>
      </w:pPr>
    </w:p>
    <w:p w14:paraId="78AE9609" w14:textId="77777777" w:rsidR="00EF26BC" w:rsidRDefault="00343DF1">
      <w:pPr>
        <w:ind w:right="860"/>
        <w:jc w:val="center"/>
        <w:rPr>
          <w:sz w:val="20"/>
          <w:szCs w:val="20"/>
        </w:rPr>
      </w:pPr>
      <w:r>
        <w:rPr>
          <w:rFonts w:eastAsia="Times New Roman"/>
          <w:b/>
          <w:bCs/>
        </w:rPr>
        <w:t>periodo 2010-2018</w:t>
      </w:r>
    </w:p>
    <w:p w14:paraId="78AE960A" w14:textId="77777777" w:rsidR="00EF26BC" w:rsidRDefault="00343DF1">
      <w:pPr>
        <w:spacing w:line="20" w:lineRule="exact"/>
        <w:rPr>
          <w:sz w:val="20"/>
          <w:szCs w:val="20"/>
        </w:rPr>
      </w:pPr>
      <w:r>
        <w:rPr>
          <w:noProof/>
          <w:sz w:val="20"/>
          <w:szCs w:val="20"/>
        </w:rPr>
        <w:drawing>
          <wp:anchor distT="0" distB="0" distL="114300" distR="114300" simplePos="0" relativeHeight="251654144" behindDoc="1" locked="0" layoutInCell="0" allowOverlap="1" wp14:anchorId="78AE9C37" wp14:editId="78AE9C38">
            <wp:simplePos x="0" y="0"/>
            <wp:positionH relativeFrom="column">
              <wp:posOffset>522605</wp:posOffset>
            </wp:positionH>
            <wp:positionV relativeFrom="paragraph">
              <wp:posOffset>58420</wp:posOffset>
            </wp:positionV>
            <wp:extent cx="4900930" cy="2197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900930" cy="2197735"/>
                    </a:xfrm>
                    <a:prstGeom prst="rect">
                      <a:avLst/>
                    </a:prstGeom>
                    <a:noFill/>
                  </pic:spPr>
                </pic:pic>
              </a:graphicData>
            </a:graphic>
          </wp:anchor>
        </w:drawing>
      </w:r>
    </w:p>
    <w:p w14:paraId="78AE960B" w14:textId="77777777" w:rsidR="00EF26BC" w:rsidRDefault="00EF26BC">
      <w:pPr>
        <w:spacing w:line="200" w:lineRule="exact"/>
        <w:rPr>
          <w:sz w:val="20"/>
          <w:szCs w:val="20"/>
        </w:rPr>
      </w:pPr>
    </w:p>
    <w:p w14:paraId="78AE960C" w14:textId="77777777" w:rsidR="00EF26BC" w:rsidRDefault="00EF26BC">
      <w:pPr>
        <w:spacing w:line="200" w:lineRule="exact"/>
        <w:rPr>
          <w:sz w:val="20"/>
          <w:szCs w:val="20"/>
        </w:rPr>
      </w:pPr>
    </w:p>
    <w:p w14:paraId="78AE960D" w14:textId="77777777" w:rsidR="00EF26BC" w:rsidRDefault="00EF26BC">
      <w:pPr>
        <w:spacing w:line="200" w:lineRule="exact"/>
        <w:rPr>
          <w:sz w:val="20"/>
          <w:szCs w:val="20"/>
        </w:rPr>
      </w:pPr>
    </w:p>
    <w:p w14:paraId="78AE960E" w14:textId="77777777" w:rsidR="00EF26BC" w:rsidRDefault="00EF26BC">
      <w:pPr>
        <w:spacing w:line="200" w:lineRule="exact"/>
        <w:rPr>
          <w:sz w:val="20"/>
          <w:szCs w:val="20"/>
        </w:rPr>
      </w:pPr>
    </w:p>
    <w:p w14:paraId="78AE960F" w14:textId="77777777" w:rsidR="00EF26BC" w:rsidRDefault="00EF26BC">
      <w:pPr>
        <w:spacing w:line="200" w:lineRule="exact"/>
        <w:rPr>
          <w:sz w:val="20"/>
          <w:szCs w:val="20"/>
        </w:rPr>
      </w:pPr>
    </w:p>
    <w:p w14:paraId="78AE9610" w14:textId="77777777" w:rsidR="00EF26BC" w:rsidRDefault="00EF26BC">
      <w:pPr>
        <w:spacing w:line="200" w:lineRule="exact"/>
        <w:rPr>
          <w:sz w:val="20"/>
          <w:szCs w:val="20"/>
        </w:rPr>
      </w:pPr>
    </w:p>
    <w:p w14:paraId="78AE9611" w14:textId="77777777" w:rsidR="00EF26BC" w:rsidRDefault="00EF26BC">
      <w:pPr>
        <w:spacing w:line="200" w:lineRule="exact"/>
        <w:rPr>
          <w:sz w:val="20"/>
          <w:szCs w:val="20"/>
        </w:rPr>
      </w:pPr>
    </w:p>
    <w:p w14:paraId="78AE9612" w14:textId="77777777" w:rsidR="00EF26BC" w:rsidRDefault="00EF26BC">
      <w:pPr>
        <w:spacing w:line="200" w:lineRule="exact"/>
        <w:rPr>
          <w:sz w:val="20"/>
          <w:szCs w:val="20"/>
        </w:rPr>
      </w:pPr>
    </w:p>
    <w:p w14:paraId="78AE9613" w14:textId="77777777" w:rsidR="00EF26BC" w:rsidRDefault="00EF26BC">
      <w:pPr>
        <w:spacing w:line="200" w:lineRule="exact"/>
        <w:rPr>
          <w:sz w:val="20"/>
          <w:szCs w:val="20"/>
        </w:rPr>
      </w:pPr>
    </w:p>
    <w:p w14:paraId="78AE9614" w14:textId="77777777" w:rsidR="00EF26BC" w:rsidRDefault="00EF26BC">
      <w:pPr>
        <w:spacing w:line="200" w:lineRule="exact"/>
        <w:rPr>
          <w:sz w:val="20"/>
          <w:szCs w:val="20"/>
        </w:rPr>
      </w:pPr>
    </w:p>
    <w:p w14:paraId="78AE9615" w14:textId="77777777" w:rsidR="00EF26BC" w:rsidRDefault="00EF26BC">
      <w:pPr>
        <w:spacing w:line="200" w:lineRule="exact"/>
        <w:rPr>
          <w:sz w:val="20"/>
          <w:szCs w:val="20"/>
        </w:rPr>
      </w:pPr>
    </w:p>
    <w:p w14:paraId="78AE9616" w14:textId="77777777" w:rsidR="00EF26BC" w:rsidRDefault="00EF26BC">
      <w:pPr>
        <w:spacing w:line="200" w:lineRule="exact"/>
        <w:rPr>
          <w:sz w:val="20"/>
          <w:szCs w:val="20"/>
        </w:rPr>
      </w:pPr>
    </w:p>
    <w:p w14:paraId="78AE9617" w14:textId="77777777" w:rsidR="00EF26BC" w:rsidRDefault="00EF26BC">
      <w:pPr>
        <w:spacing w:line="200" w:lineRule="exact"/>
        <w:rPr>
          <w:sz w:val="20"/>
          <w:szCs w:val="20"/>
        </w:rPr>
      </w:pPr>
    </w:p>
    <w:p w14:paraId="78AE9618" w14:textId="77777777" w:rsidR="00EF26BC" w:rsidRDefault="00EF26BC">
      <w:pPr>
        <w:spacing w:line="200" w:lineRule="exact"/>
        <w:rPr>
          <w:sz w:val="20"/>
          <w:szCs w:val="20"/>
        </w:rPr>
      </w:pPr>
    </w:p>
    <w:p w14:paraId="78AE9619" w14:textId="77777777" w:rsidR="00EF26BC" w:rsidRDefault="00EF26BC">
      <w:pPr>
        <w:spacing w:line="200" w:lineRule="exact"/>
        <w:rPr>
          <w:sz w:val="20"/>
          <w:szCs w:val="20"/>
        </w:rPr>
      </w:pPr>
    </w:p>
    <w:p w14:paraId="78AE961A" w14:textId="77777777" w:rsidR="00EF26BC" w:rsidRDefault="00EF26BC">
      <w:pPr>
        <w:spacing w:line="200" w:lineRule="exact"/>
        <w:rPr>
          <w:sz w:val="20"/>
          <w:szCs w:val="20"/>
        </w:rPr>
      </w:pPr>
    </w:p>
    <w:p w14:paraId="78AE961B" w14:textId="77777777" w:rsidR="00EF26BC" w:rsidRDefault="00EF26BC">
      <w:pPr>
        <w:spacing w:line="200" w:lineRule="exact"/>
        <w:rPr>
          <w:sz w:val="20"/>
          <w:szCs w:val="20"/>
        </w:rPr>
      </w:pPr>
    </w:p>
    <w:p w14:paraId="78AE961C" w14:textId="77777777" w:rsidR="00EF26BC" w:rsidRDefault="00EF26BC">
      <w:pPr>
        <w:spacing w:line="212" w:lineRule="exact"/>
        <w:rPr>
          <w:sz w:val="20"/>
          <w:szCs w:val="20"/>
        </w:rPr>
      </w:pPr>
    </w:p>
    <w:p w14:paraId="78AE961D" w14:textId="77777777" w:rsidR="00EF26BC" w:rsidRDefault="00343DF1">
      <w:pPr>
        <w:spacing w:line="280" w:lineRule="auto"/>
        <w:ind w:left="820" w:right="2260"/>
        <w:rPr>
          <w:sz w:val="20"/>
          <w:szCs w:val="20"/>
        </w:rPr>
      </w:pPr>
      <w:r>
        <w:rPr>
          <w:rFonts w:eastAsia="Times New Roman"/>
        </w:rPr>
        <w:t>Fuente: Observatorio de Violencia de Género contra las Mujeres y el Acceso a la Justicia (2020)</w:t>
      </w:r>
    </w:p>
    <w:p w14:paraId="78AE961E" w14:textId="77777777" w:rsidR="00EF26BC" w:rsidRDefault="00EF26BC">
      <w:pPr>
        <w:spacing w:line="341" w:lineRule="exact"/>
        <w:rPr>
          <w:sz w:val="20"/>
          <w:szCs w:val="20"/>
        </w:rPr>
      </w:pPr>
    </w:p>
    <w:p w14:paraId="78AE961F" w14:textId="77777777" w:rsidR="00EF26BC" w:rsidRDefault="00343DF1">
      <w:pPr>
        <w:spacing w:line="252" w:lineRule="auto"/>
        <w:ind w:left="820" w:right="1700"/>
        <w:jc w:val="both"/>
        <w:rPr>
          <w:sz w:val="20"/>
          <w:szCs w:val="20"/>
        </w:rPr>
      </w:pPr>
      <w:r>
        <w:rPr>
          <w:rFonts w:eastAsia="Times New Roman"/>
          <w:sz w:val="24"/>
          <w:szCs w:val="24"/>
        </w:rPr>
        <w:t xml:space="preserve">Lo alarmante de la </w:t>
      </w:r>
      <w:r>
        <w:rPr>
          <w:rFonts w:eastAsia="Times New Roman"/>
          <w:sz w:val="24"/>
          <w:szCs w:val="24"/>
        </w:rPr>
        <w:t xml:space="preserve">situación, también se puede observar al analizar la cantidad de mujeres, niñas y niños en situación de riesgo de muerte atendidas por los Centros Especializados de Atención y de Albergue Temporal para Mujeres Afectadas por Violencia (CEAAM) del INAMU, que </w:t>
      </w:r>
      <w:r>
        <w:rPr>
          <w:rFonts w:eastAsia="Times New Roman"/>
          <w:sz w:val="24"/>
          <w:szCs w:val="24"/>
        </w:rPr>
        <w:t>son un recurso de</w:t>
      </w:r>
    </w:p>
    <w:p w14:paraId="78AE9620" w14:textId="77777777" w:rsidR="00EF26BC" w:rsidRDefault="00EF26BC">
      <w:pPr>
        <w:spacing w:line="200" w:lineRule="exact"/>
        <w:rPr>
          <w:sz w:val="20"/>
          <w:szCs w:val="20"/>
        </w:rPr>
      </w:pPr>
    </w:p>
    <w:p w14:paraId="78AE9621" w14:textId="77777777" w:rsidR="00EF26BC" w:rsidRDefault="00EF26BC">
      <w:pPr>
        <w:spacing w:line="252"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460"/>
        <w:gridCol w:w="20"/>
      </w:tblGrid>
      <w:tr w:rsidR="00EF26BC" w14:paraId="78AE9625" w14:textId="77777777">
        <w:trPr>
          <w:trHeight w:val="240"/>
        </w:trPr>
        <w:tc>
          <w:tcPr>
            <w:tcW w:w="6940" w:type="dxa"/>
            <w:vAlign w:val="bottom"/>
          </w:tcPr>
          <w:p w14:paraId="78AE9622"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623" w14:textId="77777777" w:rsidR="00EF26BC" w:rsidRDefault="00343DF1">
            <w:pPr>
              <w:jc w:val="right"/>
              <w:rPr>
                <w:sz w:val="20"/>
                <w:szCs w:val="20"/>
              </w:rPr>
            </w:pPr>
            <w:r>
              <w:rPr>
                <w:rFonts w:ascii="Arial" w:eastAsia="Arial" w:hAnsi="Arial" w:cs="Arial"/>
              </w:rPr>
              <w:t>98</w:t>
            </w:r>
          </w:p>
        </w:tc>
        <w:tc>
          <w:tcPr>
            <w:tcW w:w="0" w:type="dxa"/>
            <w:vAlign w:val="bottom"/>
          </w:tcPr>
          <w:p w14:paraId="78AE9624" w14:textId="77777777" w:rsidR="00EF26BC" w:rsidRDefault="00EF26BC">
            <w:pPr>
              <w:rPr>
                <w:sz w:val="1"/>
                <w:szCs w:val="1"/>
              </w:rPr>
            </w:pPr>
          </w:p>
        </w:tc>
      </w:tr>
      <w:tr w:rsidR="00EF26BC" w14:paraId="78AE9629" w14:textId="77777777">
        <w:trPr>
          <w:trHeight w:val="270"/>
        </w:trPr>
        <w:tc>
          <w:tcPr>
            <w:tcW w:w="6940" w:type="dxa"/>
            <w:vAlign w:val="bottom"/>
          </w:tcPr>
          <w:p w14:paraId="78AE9626"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627" w14:textId="77777777" w:rsidR="00EF26BC" w:rsidRDefault="00EF26BC">
            <w:pPr>
              <w:rPr>
                <w:sz w:val="23"/>
                <w:szCs w:val="23"/>
              </w:rPr>
            </w:pPr>
          </w:p>
        </w:tc>
        <w:tc>
          <w:tcPr>
            <w:tcW w:w="0" w:type="dxa"/>
            <w:vAlign w:val="bottom"/>
          </w:tcPr>
          <w:p w14:paraId="78AE9628" w14:textId="77777777" w:rsidR="00EF26BC" w:rsidRDefault="00EF26BC">
            <w:pPr>
              <w:rPr>
                <w:sz w:val="1"/>
                <w:szCs w:val="1"/>
              </w:rPr>
            </w:pPr>
          </w:p>
        </w:tc>
      </w:tr>
    </w:tbl>
    <w:p w14:paraId="78AE962A" w14:textId="77777777" w:rsidR="00EF26BC" w:rsidRDefault="00EF26BC">
      <w:pPr>
        <w:sectPr w:rsidR="00EF26BC">
          <w:pgSz w:w="12240" w:h="15840"/>
          <w:pgMar w:top="714" w:right="580" w:bottom="112" w:left="1440" w:header="0" w:footer="0" w:gutter="0"/>
          <w:cols w:space="720" w:equalWidth="0">
            <w:col w:w="10220"/>
          </w:cols>
        </w:sectPr>
      </w:pPr>
    </w:p>
    <w:p w14:paraId="78AE962B" w14:textId="77777777" w:rsidR="00EF26BC" w:rsidRDefault="00343DF1">
      <w:pPr>
        <w:ind w:left="2960"/>
        <w:rPr>
          <w:sz w:val="20"/>
          <w:szCs w:val="20"/>
        </w:rPr>
      </w:pPr>
      <w:bookmarkStart w:id="10" w:name="page11"/>
      <w:bookmarkEnd w:id="10"/>
      <w:r>
        <w:rPr>
          <w:rFonts w:ascii="Arial" w:eastAsia="Arial" w:hAnsi="Arial" w:cs="Arial"/>
          <w:sz w:val="20"/>
          <w:szCs w:val="20"/>
        </w:rPr>
        <w:lastRenderedPageBreak/>
        <w:t>Violencia contra las mujeres y femicidio</w:t>
      </w:r>
    </w:p>
    <w:p w14:paraId="78AE962C" w14:textId="77777777" w:rsidR="00EF26BC" w:rsidRDefault="00EF26BC">
      <w:pPr>
        <w:spacing w:line="200" w:lineRule="exact"/>
        <w:rPr>
          <w:sz w:val="20"/>
          <w:szCs w:val="20"/>
        </w:rPr>
      </w:pPr>
    </w:p>
    <w:p w14:paraId="78AE962D" w14:textId="77777777" w:rsidR="00EF26BC" w:rsidRDefault="00EF26BC">
      <w:pPr>
        <w:spacing w:line="331" w:lineRule="exact"/>
        <w:rPr>
          <w:sz w:val="20"/>
          <w:szCs w:val="20"/>
        </w:rPr>
      </w:pPr>
    </w:p>
    <w:p w14:paraId="78AE962E" w14:textId="77777777" w:rsidR="00EF26BC" w:rsidRDefault="00343DF1">
      <w:pPr>
        <w:spacing w:line="249" w:lineRule="auto"/>
        <w:ind w:left="820" w:right="1680"/>
        <w:jc w:val="both"/>
        <w:rPr>
          <w:sz w:val="20"/>
          <w:szCs w:val="20"/>
        </w:rPr>
      </w:pPr>
      <w:r>
        <w:rPr>
          <w:rFonts w:eastAsia="Times New Roman"/>
          <w:sz w:val="24"/>
          <w:szCs w:val="24"/>
        </w:rPr>
        <w:t xml:space="preserve">emergencia para mujeres cuya vida e integridad física se encuentra amenazada y no cuentan con otro tipo de espacio seguro. Se han atendido en total en el periodo 2011 a 2018 a 7409 personas, de las cuales el 39.06% corresponde a mujeres, el 36,17% a niñas </w:t>
      </w:r>
      <w:r>
        <w:rPr>
          <w:rFonts w:eastAsia="Times New Roman"/>
          <w:sz w:val="24"/>
          <w:szCs w:val="24"/>
        </w:rPr>
        <w:t xml:space="preserve">y de niños un 24,77%; esto quiere decir que solo en situaciones de peligro de muerte se están atendiendo en promedio más de 700 personas al año (Ver </w:t>
      </w:r>
      <w:r>
        <w:rPr>
          <w:rFonts w:eastAsia="Times New Roman"/>
          <w:b/>
          <w:bCs/>
          <w:sz w:val="24"/>
          <w:szCs w:val="24"/>
        </w:rPr>
        <w:t>gráfico N° 2</w:t>
      </w:r>
      <w:r>
        <w:rPr>
          <w:rFonts w:eastAsia="Times New Roman"/>
          <w:sz w:val="24"/>
          <w:szCs w:val="24"/>
        </w:rPr>
        <w:t>).</w:t>
      </w:r>
    </w:p>
    <w:p w14:paraId="78AE962F" w14:textId="77777777" w:rsidR="00EF26BC" w:rsidRDefault="00EF26BC">
      <w:pPr>
        <w:spacing w:line="289" w:lineRule="exact"/>
        <w:rPr>
          <w:sz w:val="20"/>
          <w:szCs w:val="20"/>
        </w:rPr>
      </w:pPr>
    </w:p>
    <w:p w14:paraId="78AE9630" w14:textId="77777777" w:rsidR="00EF26BC" w:rsidRDefault="00343DF1">
      <w:pPr>
        <w:ind w:right="860"/>
        <w:jc w:val="center"/>
        <w:rPr>
          <w:sz w:val="20"/>
          <w:szCs w:val="20"/>
        </w:rPr>
      </w:pPr>
      <w:r>
        <w:rPr>
          <w:rFonts w:eastAsia="Times New Roman"/>
          <w:b/>
          <w:bCs/>
        </w:rPr>
        <w:t>Gráfico Nº 2.</w:t>
      </w:r>
    </w:p>
    <w:p w14:paraId="78AE9631" w14:textId="77777777" w:rsidR="00EF26BC" w:rsidRDefault="00EF26BC">
      <w:pPr>
        <w:spacing w:line="37" w:lineRule="exact"/>
        <w:rPr>
          <w:sz w:val="20"/>
          <w:szCs w:val="20"/>
        </w:rPr>
      </w:pPr>
    </w:p>
    <w:p w14:paraId="78AE9632" w14:textId="77777777" w:rsidR="00EF26BC" w:rsidRDefault="00343DF1">
      <w:pPr>
        <w:ind w:right="800"/>
        <w:jc w:val="center"/>
        <w:rPr>
          <w:sz w:val="20"/>
          <w:szCs w:val="20"/>
        </w:rPr>
      </w:pPr>
      <w:r>
        <w:rPr>
          <w:rFonts w:eastAsia="Times New Roman"/>
          <w:b/>
          <w:bCs/>
        </w:rPr>
        <w:t>Cantidad de personas atendidas en CEAAM en situación de riesgo de muerte</w:t>
      </w:r>
    </w:p>
    <w:p w14:paraId="78AE9633" w14:textId="77777777" w:rsidR="00EF26BC" w:rsidRDefault="00EF26BC">
      <w:pPr>
        <w:spacing w:line="1" w:lineRule="exact"/>
        <w:rPr>
          <w:sz w:val="20"/>
          <w:szCs w:val="20"/>
        </w:rPr>
      </w:pPr>
    </w:p>
    <w:p w14:paraId="78AE9634" w14:textId="77777777" w:rsidR="00EF26BC" w:rsidRDefault="00343DF1">
      <w:pPr>
        <w:ind w:right="860"/>
        <w:jc w:val="center"/>
        <w:rPr>
          <w:sz w:val="20"/>
          <w:szCs w:val="20"/>
        </w:rPr>
      </w:pPr>
      <w:r>
        <w:rPr>
          <w:rFonts w:eastAsia="Times New Roman"/>
          <w:b/>
          <w:bCs/>
        </w:rPr>
        <w:t>pa</w:t>
      </w:r>
      <w:r>
        <w:rPr>
          <w:rFonts w:eastAsia="Times New Roman"/>
          <w:b/>
          <w:bCs/>
        </w:rPr>
        <w:t>ra el periodo de 2011 a 2018</w:t>
      </w:r>
    </w:p>
    <w:p w14:paraId="78AE9635" w14:textId="77777777" w:rsidR="00EF26BC" w:rsidRDefault="00343DF1">
      <w:pPr>
        <w:spacing w:line="20" w:lineRule="exact"/>
        <w:rPr>
          <w:sz w:val="20"/>
          <w:szCs w:val="20"/>
        </w:rPr>
      </w:pPr>
      <w:r>
        <w:rPr>
          <w:noProof/>
          <w:sz w:val="20"/>
          <w:szCs w:val="20"/>
        </w:rPr>
        <w:drawing>
          <wp:anchor distT="0" distB="0" distL="114300" distR="114300" simplePos="0" relativeHeight="251655168" behindDoc="1" locked="0" layoutInCell="0" allowOverlap="1" wp14:anchorId="78AE9C39" wp14:editId="78AE9C3A">
            <wp:simplePos x="0" y="0"/>
            <wp:positionH relativeFrom="column">
              <wp:posOffset>528320</wp:posOffset>
            </wp:positionH>
            <wp:positionV relativeFrom="paragraph">
              <wp:posOffset>52705</wp:posOffset>
            </wp:positionV>
            <wp:extent cx="4879975" cy="2038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879975" cy="2038350"/>
                    </a:xfrm>
                    <a:prstGeom prst="rect">
                      <a:avLst/>
                    </a:prstGeom>
                    <a:noFill/>
                  </pic:spPr>
                </pic:pic>
              </a:graphicData>
            </a:graphic>
          </wp:anchor>
        </w:drawing>
      </w:r>
    </w:p>
    <w:p w14:paraId="78AE9636" w14:textId="77777777" w:rsidR="00EF26BC" w:rsidRDefault="00EF26BC">
      <w:pPr>
        <w:spacing w:line="189" w:lineRule="exact"/>
        <w:rPr>
          <w:sz w:val="20"/>
          <w:szCs w:val="20"/>
        </w:rPr>
      </w:pPr>
    </w:p>
    <w:tbl>
      <w:tblPr>
        <w:tblW w:w="0" w:type="auto"/>
        <w:tblInd w:w="1180" w:type="dxa"/>
        <w:tblLayout w:type="fixed"/>
        <w:tblCellMar>
          <w:left w:w="0" w:type="dxa"/>
          <w:right w:w="0" w:type="dxa"/>
        </w:tblCellMar>
        <w:tblLook w:val="04A0" w:firstRow="1" w:lastRow="0" w:firstColumn="1" w:lastColumn="0" w:noHBand="0" w:noVBand="1"/>
      </w:tblPr>
      <w:tblGrid>
        <w:gridCol w:w="780"/>
        <w:gridCol w:w="20"/>
        <w:gridCol w:w="880"/>
        <w:gridCol w:w="20"/>
        <w:gridCol w:w="400"/>
        <w:gridCol w:w="100"/>
        <w:gridCol w:w="400"/>
        <w:gridCol w:w="60"/>
        <w:gridCol w:w="120"/>
        <w:gridCol w:w="100"/>
        <w:gridCol w:w="620"/>
        <w:gridCol w:w="80"/>
        <w:gridCol w:w="100"/>
        <w:gridCol w:w="100"/>
        <w:gridCol w:w="620"/>
        <w:gridCol w:w="20"/>
        <w:gridCol w:w="80"/>
        <w:gridCol w:w="800"/>
        <w:gridCol w:w="20"/>
        <w:gridCol w:w="880"/>
        <w:gridCol w:w="20"/>
        <w:gridCol w:w="720"/>
        <w:gridCol w:w="20"/>
      </w:tblGrid>
      <w:tr w:rsidR="00EF26BC" w14:paraId="78AE964C" w14:textId="77777777">
        <w:trPr>
          <w:trHeight w:val="121"/>
        </w:trPr>
        <w:tc>
          <w:tcPr>
            <w:tcW w:w="780" w:type="dxa"/>
            <w:vAlign w:val="bottom"/>
          </w:tcPr>
          <w:p w14:paraId="78AE9637" w14:textId="77777777" w:rsidR="00EF26BC" w:rsidRDefault="00EF26BC">
            <w:pPr>
              <w:rPr>
                <w:sz w:val="10"/>
                <w:szCs w:val="10"/>
              </w:rPr>
            </w:pPr>
          </w:p>
        </w:tc>
        <w:tc>
          <w:tcPr>
            <w:tcW w:w="20" w:type="dxa"/>
            <w:vAlign w:val="bottom"/>
          </w:tcPr>
          <w:p w14:paraId="78AE9638" w14:textId="77777777" w:rsidR="00EF26BC" w:rsidRDefault="00EF26BC">
            <w:pPr>
              <w:rPr>
                <w:sz w:val="10"/>
                <w:szCs w:val="10"/>
              </w:rPr>
            </w:pPr>
          </w:p>
        </w:tc>
        <w:tc>
          <w:tcPr>
            <w:tcW w:w="880" w:type="dxa"/>
            <w:vAlign w:val="bottom"/>
          </w:tcPr>
          <w:p w14:paraId="78AE9639" w14:textId="77777777" w:rsidR="00EF26BC" w:rsidRDefault="00EF26BC">
            <w:pPr>
              <w:rPr>
                <w:sz w:val="10"/>
                <w:szCs w:val="10"/>
              </w:rPr>
            </w:pPr>
          </w:p>
        </w:tc>
        <w:tc>
          <w:tcPr>
            <w:tcW w:w="20" w:type="dxa"/>
            <w:vAlign w:val="bottom"/>
          </w:tcPr>
          <w:p w14:paraId="78AE963A" w14:textId="77777777" w:rsidR="00EF26BC" w:rsidRDefault="00EF26BC">
            <w:pPr>
              <w:rPr>
                <w:sz w:val="10"/>
                <w:szCs w:val="10"/>
              </w:rPr>
            </w:pPr>
          </w:p>
        </w:tc>
        <w:tc>
          <w:tcPr>
            <w:tcW w:w="400" w:type="dxa"/>
            <w:vAlign w:val="bottom"/>
          </w:tcPr>
          <w:p w14:paraId="78AE963B" w14:textId="77777777" w:rsidR="00EF26BC" w:rsidRDefault="00EF26BC">
            <w:pPr>
              <w:rPr>
                <w:sz w:val="10"/>
                <w:szCs w:val="10"/>
              </w:rPr>
            </w:pPr>
          </w:p>
        </w:tc>
        <w:tc>
          <w:tcPr>
            <w:tcW w:w="100" w:type="dxa"/>
            <w:vAlign w:val="bottom"/>
          </w:tcPr>
          <w:p w14:paraId="78AE963C" w14:textId="77777777" w:rsidR="00EF26BC" w:rsidRDefault="00EF26BC">
            <w:pPr>
              <w:rPr>
                <w:sz w:val="10"/>
                <w:szCs w:val="10"/>
              </w:rPr>
            </w:pPr>
          </w:p>
        </w:tc>
        <w:tc>
          <w:tcPr>
            <w:tcW w:w="460" w:type="dxa"/>
            <w:gridSpan w:val="2"/>
            <w:vMerge w:val="restart"/>
            <w:vAlign w:val="bottom"/>
          </w:tcPr>
          <w:p w14:paraId="78AE963D" w14:textId="77777777" w:rsidR="00EF26BC" w:rsidRDefault="00343DF1">
            <w:pPr>
              <w:ind w:left="40"/>
              <w:rPr>
                <w:sz w:val="20"/>
                <w:szCs w:val="20"/>
              </w:rPr>
            </w:pPr>
            <w:r>
              <w:rPr>
                <w:rFonts w:ascii="Calibri" w:eastAsia="Calibri" w:hAnsi="Calibri" w:cs="Calibri"/>
                <w:color w:val="595959"/>
                <w:sz w:val="18"/>
                <w:szCs w:val="18"/>
              </w:rPr>
              <w:t>Total</w:t>
            </w:r>
          </w:p>
        </w:tc>
        <w:tc>
          <w:tcPr>
            <w:tcW w:w="120" w:type="dxa"/>
            <w:vMerge w:val="restart"/>
            <w:vAlign w:val="bottom"/>
          </w:tcPr>
          <w:p w14:paraId="78AE963E" w14:textId="77777777" w:rsidR="00EF26BC" w:rsidRDefault="00EF26BC">
            <w:pPr>
              <w:rPr>
                <w:sz w:val="10"/>
                <w:szCs w:val="10"/>
              </w:rPr>
            </w:pPr>
          </w:p>
        </w:tc>
        <w:tc>
          <w:tcPr>
            <w:tcW w:w="100" w:type="dxa"/>
            <w:vAlign w:val="bottom"/>
          </w:tcPr>
          <w:p w14:paraId="78AE963F" w14:textId="77777777" w:rsidR="00EF26BC" w:rsidRDefault="00EF26BC">
            <w:pPr>
              <w:rPr>
                <w:sz w:val="10"/>
                <w:szCs w:val="10"/>
              </w:rPr>
            </w:pPr>
          </w:p>
        </w:tc>
        <w:tc>
          <w:tcPr>
            <w:tcW w:w="700" w:type="dxa"/>
            <w:gridSpan w:val="2"/>
            <w:vMerge w:val="restart"/>
            <w:vAlign w:val="bottom"/>
          </w:tcPr>
          <w:p w14:paraId="78AE9640" w14:textId="77777777" w:rsidR="00EF26BC" w:rsidRDefault="00343DF1">
            <w:pPr>
              <w:ind w:left="40"/>
              <w:rPr>
                <w:sz w:val="20"/>
                <w:szCs w:val="20"/>
              </w:rPr>
            </w:pPr>
            <w:r>
              <w:rPr>
                <w:rFonts w:ascii="Calibri" w:eastAsia="Calibri" w:hAnsi="Calibri" w:cs="Calibri"/>
                <w:color w:val="595959"/>
                <w:sz w:val="18"/>
                <w:szCs w:val="18"/>
              </w:rPr>
              <w:t>Mujeres</w:t>
            </w:r>
          </w:p>
        </w:tc>
        <w:tc>
          <w:tcPr>
            <w:tcW w:w="100" w:type="dxa"/>
            <w:vMerge w:val="restart"/>
            <w:vAlign w:val="bottom"/>
          </w:tcPr>
          <w:p w14:paraId="78AE9641" w14:textId="77777777" w:rsidR="00EF26BC" w:rsidRDefault="00EF26BC">
            <w:pPr>
              <w:rPr>
                <w:sz w:val="10"/>
                <w:szCs w:val="10"/>
              </w:rPr>
            </w:pPr>
          </w:p>
        </w:tc>
        <w:tc>
          <w:tcPr>
            <w:tcW w:w="100" w:type="dxa"/>
            <w:vAlign w:val="bottom"/>
          </w:tcPr>
          <w:p w14:paraId="78AE9642" w14:textId="77777777" w:rsidR="00EF26BC" w:rsidRDefault="00EF26BC">
            <w:pPr>
              <w:rPr>
                <w:sz w:val="10"/>
                <w:szCs w:val="10"/>
              </w:rPr>
            </w:pPr>
          </w:p>
        </w:tc>
        <w:tc>
          <w:tcPr>
            <w:tcW w:w="620" w:type="dxa"/>
            <w:vMerge w:val="restart"/>
            <w:vAlign w:val="bottom"/>
          </w:tcPr>
          <w:p w14:paraId="78AE9643" w14:textId="77777777" w:rsidR="00EF26BC" w:rsidRDefault="00343DF1">
            <w:pPr>
              <w:ind w:right="29"/>
              <w:jc w:val="center"/>
              <w:rPr>
                <w:sz w:val="20"/>
                <w:szCs w:val="20"/>
              </w:rPr>
            </w:pPr>
            <w:r>
              <w:rPr>
                <w:rFonts w:ascii="Calibri" w:eastAsia="Calibri" w:hAnsi="Calibri" w:cs="Calibri"/>
                <w:color w:val="595959"/>
                <w:sz w:val="18"/>
                <w:szCs w:val="18"/>
              </w:rPr>
              <w:t>Niñas</w:t>
            </w:r>
          </w:p>
        </w:tc>
        <w:tc>
          <w:tcPr>
            <w:tcW w:w="20" w:type="dxa"/>
            <w:vAlign w:val="bottom"/>
          </w:tcPr>
          <w:p w14:paraId="78AE9644" w14:textId="77777777" w:rsidR="00EF26BC" w:rsidRDefault="00EF26BC">
            <w:pPr>
              <w:rPr>
                <w:sz w:val="10"/>
                <w:szCs w:val="10"/>
              </w:rPr>
            </w:pPr>
          </w:p>
        </w:tc>
        <w:tc>
          <w:tcPr>
            <w:tcW w:w="80" w:type="dxa"/>
            <w:vAlign w:val="bottom"/>
          </w:tcPr>
          <w:p w14:paraId="78AE9645" w14:textId="77777777" w:rsidR="00EF26BC" w:rsidRDefault="00EF26BC">
            <w:pPr>
              <w:rPr>
                <w:sz w:val="10"/>
                <w:szCs w:val="10"/>
              </w:rPr>
            </w:pPr>
          </w:p>
        </w:tc>
        <w:tc>
          <w:tcPr>
            <w:tcW w:w="800" w:type="dxa"/>
            <w:vMerge w:val="restart"/>
            <w:vAlign w:val="bottom"/>
          </w:tcPr>
          <w:p w14:paraId="78AE9646" w14:textId="77777777" w:rsidR="00EF26BC" w:rsidRDefault="00343DF1">
            <w:pPr>
              <w:ind w:right="249"/>
              <w:jc w:val="right"/>
              <w:rPr>
                <w:sz w:val="20"/>
                <w:szCs w:val="20"/>
              </w:rPr>
            </w:pPr>
            <w:r>
              <w:rPr>
                <w:rFonts w:ascii="Calibri" w:eastAsia="Calibri" w:hAnsi="Calibri" w:cs="Calibri"/>
                <w:color w:val="595959"/>
                <w:sz w:val="18"/>
                <w:szCs w:val="18"/>
              </w:rPr>
              <w:t>Niños</w:t>
            </w:r>
          </w:p>
        </w:tc>
        <w:tc>
          <w:tcPr>
            <w:tcW w:w="20" w:type="dxa"/>
            <w:vAlign w:val="bottom"/>
          </w:tcPr>
          <w:p w14:paraId="78AE9647" w14:textId="77777777" w:rsidR="00EF26BC" w:rsidRDefault="00EF26BC">
            <w:pPr>
              <w:rPr>
                <w:sz w:val="10"/>
                <w:szCs w:val="10"/>
              </w:rPr>
            </w:pPr>
          </w:p>
        </w:tc>
        <w:tc>
          <w:tcPr>
            <w:tcW w:w="880" w:type="dxa"/>
            <w:vAlign w:val="bottom"/>
          </w:tcPr>
          <w:p w14:paraId="78AE9648" w14:textId="77777777" w:rsidR="00EF26BC" w:rsidRDefault="00EF26BC">
            <w:pPr>
              <w:rPr>
                <w:sz w:val="10"/>
                <w:szCs w:val="10"/>
              </w:rPr>
            </w:pPr>
          </w:p>
        </w:tc>
        <w:tc>
          <w:tcPr>
            <w:tcW w:w="20" w:type="dxa"/>
            <w:vAlign w:val="bottom"/>
          </w:tcPr>
          <w:p w14:paraId="78AE9649" w14:textId="77777777" w:rsidR="00EF26BC" w:rsidRDefault="00EF26BC">
            <w:pPr>
              <w:rPr>
                <w:sz w:val="10"/>
                <w:szCs w:val="10"/>
              </w:rPr>
            </w:pPr>
          </w:p>
        </w:tc>
        <w:tc>
          <w:tcPr>
            <w:tcW w:w="720" w:type="dxa"/>
            <w:vAlign w:val="bottom"/>
          </w:tcPr>
          <w:p w14:paraId="78AE964A" w14:textId="77777777" w:rsidR="00EF26BC" w:rsidRDefault="00EF26BC">
            <w:pPr>
              <w:rPr>
                <w:sz w:val="10"/>
                <w:szCs w:val="10"/>
              </w:rPr>
            </w:pPr>
          </w:p>
        </w:tc>
        <w:tc>
          <w:tcPr>
            <w:tcW w:w="0" w:type="dxa"/>
            <w:vAlign w:val="bottom"/>
          </w:tcPr>
          <w:p w14:paraId="78AE964B" w14:textId="77777777" w:rsidR="00EF26BC" w:rsidRDefault="00EF26BC">
            <w:pPr>
              <w:rPr>
                <w:sz w:val="1"/>
                <w:szCs w:val="1"/>
              </w:rPr>
            </w:pPr>
          </w:p>
        </w:tc>
      </w:tr>
      <w:tr w:rsidR="00EF26BC" w14:paraId="78AE9662" w14:textId="77777777">
        <w:trPr>
          <w:trHeight w:val="99"/>
        </w:trPr>
        <w:tc>
          <w:tcPr>
            <w:tcW w:w="780" w:type="dxa"/>
            <w:vAlign w:val="bottom"/>
          </w:tcPr>
          <w:p w14:paraId="78AE964D" w14:textId="77777777" w:rsidR="00EF26BC" w:rsidRDefault="00EF26BC">
            <w:pPr>
              <w:rPr>
                <w:sz w:val="8"/>
                <w:szCs w:val="8"/>
              </w:rPr>
            </w:pPr>
          </w:p>
        </w:tc>
        <w:tc>
          <w:tcPr>
            <w:tcW w:w="20" w:type="dxa"/>
            <w:vAlign w:val="bottom"/>
          </w:tcPr>
          <w:p w14:paraId="78AE964E" w14:textId="77777777" w:rsidR="00EF26BC" w:rsidRDefault="00EF26BC">
            <w:pPr>
              <w:rPr>
                <w:sz w:val="8"/>
                <w:szCs w:val="8"/>
              </w:rPr>
            </w:pPr>
          </w:p>
        </w:tc>
        <w:tc>
          <w:tcPr>
            <w:tcW w:w="880" w:type="dxa"/>
            <w:vAlign w:val="bottom"/>
          </w:tcPr>
          <w:p w14:paraId="78AE964F" w14:textId="77777777" w:rsidR="00EF26BC" w:rsidRDefault="00EF26BC">
            <w:pPr>
              <w:rPr>
                <w:sz w:val="8"/>
                <w:szCs w:val="8"/>
              </w:rPr>
            </w:pPr>
          </w:p>
        </w:tc>
        <w:tc>
          <w:tcPr>
            <w:tcW w:w="20" w:type="dxa"/>
            <w:vAlign w:val="bottom"/>
          </w:tcPr>
          <w:p w14:paraId="78AE9650" w14:textId="77777777" w:rsidR="00EF26BC" w:rsidRDefault="00EF26BC">
            <w:pPr>
              <w:rPr>
                <w:sz w:val="8"/>
                <w:szCs w:val="8"/>
              </w:rPr>
            </w:pPr>
          </w:p>
        </w:tc>
        <w:tc>
          <w:tcPr>
            <w:tcW w:w="400" w:type="dxa"/>
            <w:vAlign w:val="bottom"/>
          </w:tcPr>
          <w:p w14:paraId="78AE9651" w14:textId="77777777" w:rsidR="00EF26BC" w:rsidRDefault="00EF26BC">
            <w:pPr>
              <w:rPr>
                <w:sz w:val="8"/>
                <w:szCs w:val="8"/>
              </w:rPr>
            </w:pPr>
          </w:p>
        </w:tc>
        <w:tc>
          <w:tcPr>
            <w:tcW w:w="100" w:type="dxa"/>
            <w:shd w:val="clear" w:color="auto" w:fill="4472C4"/>
            <w:vAlign w:val="bottom"/>
          </w:tcPr>
          <w:p w14:paraId="78AE9652" w14:textId="77777777" w:rsidR="00EF26BC" w:rsidRDefault="00EF26BC">
            <w:pPr>
              <w:rPr>
                <w:sz w:val="8"/>
                <w:szCs w:val="8"/>
              </w:rPr>
            </w:pPr>
          </w:p>
        </w:tc>
        <w:tc>
          <w:tcPr>
            <w:tcW w:w="460" w:type="dxa"/>
            <w:gridSpan w:val="2"/>
            <w:vMerge/>
            <w:vAlign w:val="bottom"/>
          </w:tcPr>
          <w:p w14:paraId="78AE9653" w14:textId="77777777" w:rsidR="00EF26BC" w:rsidRDefault="00EF26BC">
            <w:pPr>
              <w:rPr>
                <w:sz w:val="8"/>
                <w:szCs w:val="8"/>
              </w:rPr>
            </w:pPr>
          </w:p>
        </w:tc>
        <w:tc>
          <w:tcPr>
            <w:tcW w:w="120" w:type="dxa"/>
            <w:vMerge/>
            <w:vAlign w:val="bottom"/>
          </w:tcPr>
          <w:p w14:paraId="78AE9654" w14:textId="77777777" w:rsidR="00EF26BC" w:rsidRDefault="00EF26BC">
            <w:pPr>
              <w:rPr>
                <w:sz w:val="8"/>
                <w:szCs w:val="8"/>
              </w:rPr>
            </w:pPr>
          </w:p>
        </w:tc>
        <w:tc>
          <w:tcPr>
            <w:tcW w:w="100" w:type="dxa"/>
            <w:shd w:val="clear" w:color="auto" w:fill="ED7D31"/>
            <w:vAlign w:val="bottom"/>
          </w:tcPr>
          <w:p w14:paraId="78AE9655" w14:textId="77777777" w:rsidR="00EF26BC" w:rsidRDefault="00EF26BC">
            <w:pPr>
              <w:rPr>
                <w:sz w:val="8"/>
                <w:szCs w:val="8"/>
              </w:rPr>
            </w:pPr>
          </w:p>
        </w:tc>
        <w:tc>
          <w:tcPr>
            <w:tcW w:w="700" w:type="dxa"/>
            <w:gridSpan w:val="2"/>
            <w:vMerge/>
            <w:vAlign w:val="bottom"/>
          </w:tcPr>
          <w:p w14:paraId="78AE9656" w14:textId="77777777" w:rsidR="00EF26BC" w:rsidRDefault="00EF26BC">
            <w:pPr>
              <w:rPr>
                <w:sz w:val="8"/>
                <w:szCs w:val="8"/>
              </w:rPr>
            </w:pPr>
          </w:p>
        </w:tc>
        <w:tc>
          <w:tcPr>
            <w:tcW w:w="100" w:type="dxa"/>
            <w:vMerge/>
            <w:vAlign w:val="bottom"/>
          </w:tcPr>
          <w:p w14:paraId="78AE9657" w14:textId="77777777" w:rsidR="00EF26BC" w:rsidRDefault="00EF26BC">
            <w:pPr>
              <w:rPr>
                <w:sz w:val="8"/>
                <w:szCs w:val="8"/>
              </w:rPr>
            </w:pPr>
          </w:p>
        </w:tc>
        <w:tc>
          <w:tcPr>
            <w:tcW w:w="100" w:type="dxa"/>
            <w:shd w:val="clear" w:color="auto" w:fill="A5A5A5"/>
            <w:vAlign w:val="bottom"/>
          </w:tcPr>
          <w:p w14:paraId="78AE9658" w14:textId="77777777" w:rsidR="00EF26BC" w:rsidRDefault="00EF26BC">
            <w:pPr>
              <w:rPr>
                <w:sz w:val="8"/>
                <w:szCs w:val="8"/>
              </w:rPr>
            </w:pPr>
          </w:p>
        </w:tc>
        <w:tc>
          <w:tcPr>
            <w:tcW w:w="620" w:type="dxa"/>
            <w:vMerge/>
            <w:vAlign w:val="bottom"/>
          </w:tcPr>
          <w:p w14:paraId="78AE9659" w14:textId="77777777" w:rsidR="00EF26BC" w:rsidRDefault="00EF26BC">
            <w:pPr>
              <w:rPr>
                <w:sz w:val="8"/>
                <w:szCs w:val="8"/>
              </w:rPr>
            </w:pPr>
          </w:p>
        </w:tc>
        <w:tc>
          <w:tcPr>
            <w:tcW w:w="20" w:type="dxa"/>
            <w:shd w:val="clear" w:color="auto" w:fill="FFC000"/>
            <w:vAlign w:val="bottom"/>
          </w:tcPr>
          <w:p w14:paraId="78AE965A" w14:textId="77777777" w:rsidR="00EF26BC" w:rsidRDefault="00EF26BC">
            <w:pPr>
              <w:rPr>
                <w:sz w:val="8"/>
                <w:szCs w:val="8"/>
              </w:rPr>
            </w:pPr>
          </w:p>
        </w:tc>
        <w:tc>
          <w:tcPr>
            <w:tcW w:w="80" w:type="dxa"/>
            <w:shd w:val="clear" w:color="auto" w:fill="FFC000"/>
            <w:vAlign w:val="bottom"/>
          </w:tcPr>
          <w:p w14:paraId="78AE965B" w14:textId="77777777" w:rsidR="00EF26BC" w:rsidRDefault="00EF26BC">
            <w:pPr>
              <w:rPr>
                <w:sz w:val="8"/>
                <w:szCs w:val="8"/>
              </w:rPr>
            </w:pPr>
          </w:p>
        </w:tc>
        <w:tc>
          <w:tcPr>
            <w:tcW w:w="800" w:type="dxa"/>
            <w:vMerge/>
            <w:vAlign w:val="bottom"/>
          </w:tcPr>
          <w:p w14:paraId="78AE965C" w14:textId="77777777" w:rsidR="00EF26BC" w:rsidRDefault="00EF26BC">
            <w:pPr>
              <w:rPr>
                <w:sz w:val="8"/>
                <w:szCs w:val="8"/>
              </w:rPr>
            </w:pPr>
          </w:p>
        </w:tc>
        <w:tc>
          <w:tcPr>
            <w:tcW w:w="20" w:type="dxa"/>
            <w:vAlign w:val="bottom"/>
          </w:tcPr>
          <w:p w14:paraId="78AE965D" w14:textId="77777777" w:rsidR="00EF26BC" w:rsidRDefault="00EF26BC">
            <w:pPr>
              <w:rPr>
                <w:sz w:val="8"/>
                <w:szCs w:val="8"/>
              </w:rPr>
            </w:pPr>
          </w:p>
        </w:tc>
        <w:tc>
          <w:tcPr>
            <w:tcW w:w="880" w:type="dxa"/>
            <w:vAlign w:val="bottom"/>
          </w:tcPr>
          <w:p w14:paraId="78AE965E" w14:textId="77777777" w:rsidR="00EF26BC" w:rsidRDefault="00EF26BC">
            <w:pPr>
              <w:rPr>
                <w:sz w:val="8"/>
                <w:szCs w:val="8"/>
              </w:rPr>
            </w:pPr>
          </w:p>
        </w:tc>
        <w:tc>
          <w:tcPr>
            <w:tcW w:w="20" w:type="dxa"/>
            <w:vAlign w:val="bottom"/>
          </w:tcPr>
          <w:p w14:paraId="78AE965F" w14:textId="77777777" w:rsidR="00EF26BC" w:rsidRDefault="00EF26BC">
            <w:pPr>
              <w:rPr>
                <w:sz w:val="8"/>
                <w:szCs w:val="8"/>
              </w:rPr>
            </w:pPr>
          </w:p>
        </w:tc>
        <w:tc>
          <w:tcPr>
            <w:tcW w:w="720" w:type="dxa"/>
            <w:vAlign w:val="bottom"/>
          </w:tcPr>
          <w:p w14:paraId="78AE9660" w14:textId="77777777" w:rsidR="00EF26BC" w:rsidRDefault="00EF26BC">
            <w:pPr>
              <w:rPr>
                <w:sz w:val="8"/>
                <w:szCs w:val="8"/>
              </w:rPr>
            </w:pPr>
          </w:p>
        </w:tc>
        <w:tc>
          <w:tcPr>
            <w:tcW w:w="0" w:type="dxa"/>
            <w:vAlign w:val="bottom"/>
          </w:tcPr>
          <w:p w14:paraId="78AE9661" w14:textId="77777777" w:rsidR="00EF26BC" w:rsidRDefault="00EF26BC">
            <w:pPr>
              <w:rPr>
                <w:sz w:val="1"/>
                <w:szCs w:val="1"/>
              </w:rPr>
            </w:pPr>
          </w:p>
        </w:tc>
      </w:tr>
      <w:tr w:rsidR="00EF26BC" w14:paraId="78AE9677" w14:textId="77777777">
        <w:trPr>
          <w:trHeight w:val="339"/>
        </w:trPr>
        <w:tc>
          <w:tcPr>
            <w:tcW w:w="780" w:type="dxa"/>
            <w:vMerge w:val="restart"/>
            <w:textDirection w:val="btLr"/>
            <w:vAlign w:val="bottom"/>
          </w:tcPr>
          <w:p w14:paraId="78AE9663" w14:textId="77777777" w:rsidR="00EF26BC" w:rsidRDefault="00343DF1">
            <w:pPr>
              <w:ind w:right="496"/>
              <w:rPr>
                <w:sz w:val="20"/>
                <w:szCs w:val="20"/>
              </w:rPr>
            </w:pPr>
            <w:r>
              <w:rPr>
                <w:rFonts w:ascii="Calibri" w:eastAsia="Calibri" w:hAnsi="Calibri" w:cs="Calibri"/>
                <w:color w:val="7F7F7F"/>
                <w:w w:val="98"/>
                <w:sz w:val="16"/>
                <w:szCs w:val="16"/>
              </w:rPr>
              <w:t>775</w:t>
            </w:r>
          </w:p>
        </w:tc>
        <w:tc>
          <w:tcPr>
            <w:tcW w:w="20" w:type="dxa"/>
            <w:vAlign w:val="bottom"/>
          </w:tcPr>
          <w:p w14:paraId="78AE9664" w14:textId="77777777" w:rsidR="00EF26BC" w:rsidRDefault="00EF26BC">
            <w:pPr>
              <w:rPr>
                <w:sz w:val="24"/>
                <w:szCs w:val="24"/>
              </w:rPr>
            </w:pPr>
          </w:p>
        </w:tc>
        <w:tc>
          <w:tcPr>
            <w:tcW w:w="880" w:type="dxa"/>
            <w:vMerge w:val="restart"/>
            <w:textDirection w:val="btLr"/>
            <w:vAlign w:val="bottom"/>
          </w:tcPr>
          <w:p w14:paraId="78AE9665" w14:textId="77777777" w:rsidR="00EF26BC" w:rsidRDefault="00343DF1">
            <w:pPr>
              <w:ind w:right="492"/>
              <w:rPr>
                <w:sz w:val="20"/>
                <w:szCs w:val="20"/>
              </w:rPr>
            </w:pPr>
            <w:r>
              <w:rPr>
                <w:rFonts w:ascii="Calibri" w:eastAsia="Calibri" w:hAnsi="Calibri" w:cs="Calibri"/>
                <w:color w:val="7F7F7F"/>
                <w:w w:val="98"/>
                <w:sz w:val="16"/>
                <w:szCs w:val="16"/>
              </w:rPr>
              <w:t>994</w:t>
            </w:r>
          </w:p>
        </w:tc>
        <w:tc>
          <w:tcPr>
            <w:tcW w:w="20" w:type="dxa"/>
            <w:vAlign w:val="bottom"/>
          </w:tcPr>
          <w:p w14:paraId="78AE9666" w14:textId="77777777" w:rsidR="00EF26BC" w:rsidRDefault="00EF26BC">
            <w:pPr>
              <w:rPr>
                <w:sz w:val="24"/>
                <w:szCs w:val="24"/>
              </w:rPr>
            </w:pPr>
          </w:p>
        </w:tc>
        <w:tc>
          <w:tcPr>
            <w:tcW w:w="400" w:type="dxa"/>
            <w:vMerge w:val="restart"/>
            <w:textDirection w:val="btLr"/>
            <w:vAlign w:val="bottom"/>
          </w:tcPr>
          <w:p w14:paraId="78AE9667" w14:textId="77777777" w:rsidR="00EF26BC" w:rsidRDefault="00343DF1">
            <w:pPr>
              <w:ind w:right="23"/>
              <w:rPr>
                <w:sz w:val="20"/>
                <w:szCs w:val="20"/>
              </w:rPr>
            </w:pPr>
            <w:r>
              <w:rPr>
                <w:rFonts w:ascii="Calibri" w:eastAsia="Calibri" w:hAnsi="Calibri" w:cs="Calibri"/>
                <w:color w:val="7F7F7F"/>
                <w:w w:val="98"/>
                <w:sz w:val="16"/>
                <w:szCs w:val="16"/>
              </w:rPr>
              <w:t>789</w:t>
            </w:r>
          </w:p>
        </w:tc>
        <w:tc>
          <w:tcPr>
            <w:tcW w:w="100" w:type="dxa"/>
            <w:vAlign w:val="bottom"/>
          </w:tcPr>
          <w:p w14:paraId="78AE9668" w14:textId="77777777" w:rsidR="00EF26BC" w:rsidRDefault="00EF26BC">
            <w:pPr>
              <w:rPr>
                <w:sz w:val="24"/>
                <w:szCs w:val="24"/>
              </w:rPr>
            </w:pPr>
          </w:p>
        </w:tc>
        <w:tc>
          <w:tcPr>
            <w:tcW w:w="400" w:type="dxa"/>
            <w:vAlign w:val="bottom"/>
          </w:tcPr>
          <w:p w14:paraId="78AE9669" w14:textId="77777777" w:rsidR="00EF26BC" w:rsidRDefault="00EF26BC">
            <w:pPr>
              <w:rPr>
                <w:sz w:val="24"/>
                <w:szCs w:val="24"/>
              </w:rPr>
            </w:pPr>
          </w:p>
        </w:tc>
        <w:tc>
          <w:tcPr>
            <w:tcW w:w="60" w:type="dxa"/>
            <w:vAlign w:val="bottom"/>
          </w:tcPr>
          <w:p w14:paraId="78AE966A" w14:textId="77777777" w:rsidR="00EF26BC" w:rsidRDefault="00EF26BC">
            <w:pPr>
              <w:rPr>
                <w:sz w:val="24"/>
                <w:szCs w:val="24"/>
              </w:rPr>
            </w:pPr>
          </w:p>
        </w:tc>
        <w:tc>
          <w:tcPr>
            <w:tcW w:w="220" w:type="dxa"/>
            <w:gridSpan w:val="2"/>
            <w:vMerge w:val="restart"/>
            <w:textDirection w:val="btLr"/>
            <w:vAlign w:val="bottom"/>
          </w:tcPr>
          <w:p w14:paraId="78AE966B" w14:textId="77777777" w:rsidR="00EF26BC" w:rsidRDefault="00343DF1">
            <w:pPr>
              <w:rPr>
                <w:sz w:val="20"/>
                <w:szCs w:val="20"/>
              </w:rPr>
            </w:pPr>
            <w:r>
              <w:rPr>
                <w:rFonts w:ascii="Calibri" w:eastAsia="Calibri" w:hAnsi="Calibri" w:cs="Calibri"/>
                <w:color w:val="7F7F7F"/>
                <w:w w:val="98"/>
                <w:sz w:val="16"/>
                <w:szCs w:val="16"/>
              </w:rPr>
              <w:t>914</w:t>
            </w:r>
          </w:p>
        </w:tc>
        <w:tc>
          <w:tcPr>
            <w:tcW w:w="620" w:type="dxa"/>
            <w:vAlign w:val="bottom"/>
          </w:tcPr>
          <w:p w14:paraId="78AE966C" w14:textId="77777777" w:rsidR="00EF26BC" w:rsidRDefault="00EF26BC">
            <w:pPr>
              <w:rPr>
                <w:sz w:val="24"/>
                <w:szCs w:val="24"/>
              </w:rPr>
            </w:pPr>
          </w:p>
        </w:tc>
        <w:tc>
          <w:tcPr>
            <w:tcW w:w="80" w:type="dxa"/>
            <w:vAlign w:val="bottom"/>
          </w:tcPr>
          <w:p w14:paraId="78AE966D" w14:textId="77777777" w:rsidR="00EF26BC" w:rsidRDefault="00EF26BC">
            <w:pPr>
              <w:rPr>
                <w:sz w:val="24"/>
                <w:szCs w:val="24"/>
              </w:rPr>
            </w:pPr>
          </w:p>
        </w:tc>
        <w:tc>
          <w:tcPr>
            <w:tcW w:w="200" w:type="dxa"/>
            <w:gridSpan w:val="2"/>
            <w:vMerge w:val="restart"/>
            <w:textDirection w:val="btLr"/>
            <w:vAlign w:val="bottom"/>
          </w:tcPr>
          <w:p w14:paraId="78AE966E" w14:textId="77777777" w:rsidR="00EF26BC" w:rsidRDefault="00343DF1">
            <w:pPr>
              <w:rPr>
                <w:sz w:val="20"/>
                <w:szCs w:val="20"/>
              </w:rPr>
            </w:pPr>
            <w:r>
              <w:rPr>
                <w:rFonts w:ascii="Calibri" w:eastAsia="Calibri" w:hAnsi="Calibri" w:cs="Calibri"/>
                <w:color w:val="7F7F7F"/>
                <w:w w:val="98"/>
                <w:sz w:val="16"/>
                <w:szCs w:val="16"/>
              </w:rPr>
              <w:t>925</w:t>
            </w:r>
          </w:p>
        </w:tc>
        <w:tc>
          <w:tcPr>
            <w:tcW w:w="620" w:type="dxa"/>
            <w:vAlign w:val="bottom"/>
          </w:tcPr>
          <w:p w14:paraId="78AE966F" w14:textId="77777777" w:rsidR="00EF26BC" w:rsidRDefault="00EF26BC">
            <w:pPr>
              <w:rPr>
                <w:sz w:val="24"/>
                <w:szCs w:val="24"/>
              </w:rPr>
            </w:pPr>
          </w:p>
        </w:tc>
        <w:tc>
          <w:tcPr>
            <w:tcW w:w="20" w:type="dxa"/>
            <w:vAlign w:val="bottom"/>
          </w:tcPr>
          <w:p w14:paraId="78AE9670" w14:textId="77777777" w:rsidR="00EF26BC" w:rsidRDefault="00EF26BC">
            <w:pPr>
              <w:rPr>
                <w:sz w:val="24"/>
                <w:szCs w:val="24"/>
              </w:rPr>
            </w:pPr>
          </w:p>
        </w:tc>
        <w:tc>
          <w:tcPr>
            <w:tcW w:w="880" w:type="dxa"/>
            <w:gridSpan w:val="2"/>
            <w:vMerge w:val="restart"/>
            <w:textDirection w:val="btLr"/>
            <w:vAlign w:val="bottom"/>
          </w:tcPr>
          <w:p w14:paraId="78AE9671" w14:textId="77777777" w:rsidR="00EF26BC" w:rsidRDefault="00343DF1">
            <w:pPr>
              <w:ind w:right="485"/>
              <w:rPr>
                <w:sz w:val="20"/>
                <w:szCs w:val="20"/>
              </w:rPr>
            </w:pPr>
            <w:r>
              <w:rPr>
                <w:rFonts w:ascii="Calibri" w:eastAsia="Calibri" w:hAnsi="Calibri" w:cs="Calibri"/>
                <w:color w:val="7F7F7F"/>
                <w:w w:val="98"/>
                <w:sz w:val="16"/>
                <w:szCs w:val="16"/>
              </w:rPr>
              <w:t>1060</w:t>
            </w:r>
          </w:p>
        </w:tc>
        <w:tc>
          <w:tcPr>
            <w:tcW w:w="20" w:type="dxa"/>
            <w:vAlign w:val="bottom"/>
          </w:tcPr>
          <w:p w14:paraId="78AE9672" w14:textId="77777777" w:rsidR="00EF26BC" w:rsidRDefault="00EF26BC">
            <w:pPr>
              <w:rPr>
                <w:sz w:val="24"/>
                <w:szCs w:val="24"/>
              </w:rPr>
            </w:pPr>
          </w:p>
        </w:tc>
        <w:tc>
          <w:tcPr>
            <w:tcW w:w="880" w:type="dxa"/>
            <w:vMerge w:val="restart"/>
            <w:textDirection w:val="btLr"/>
            <w:vAlign w:val="bottom"/>
          </w:tcPr>
          <w:p w14:paraId="78AE9673" w14:textId="77777777" w:rsidR="00EF26BC" w:rsidRDefault="00343DF1">
            <w:pPr>
              <w:ind w:right="502"/>
              <w:rPr>
                <w:sz w:val="20"/>
                <w:szCs w:val="20"/>
              </w:rPr>
            </w:pPr>
            <w:r>
              <w:rPr>
                <w:rFonts w:ascii="Calibri" w:eastAsia="Calibri" w:hAnsi="Calibri" w:cs="Calibri"/>
                <w:color w:val="7F7F7F"/>
                <w:w w:val="98"/>
                <w:sz w:val="16"/>
                <w:szCs w:val="16"/>
              </w:rPr>
              <w:t>1022</w:t>
            </w:r>
          </w:p>
        </w:tc>
        <w:tc>
          <w:tcPr>
            <w:tcW w:w="20" w:type="dxa"/>
            <w:vAlign w:val="bottom"/>
          </w:tcPr>
          <w:p w14:paraId="78AE9674" w14:textId="77777777" w:rsidR="00EF26BC" w:rsidRDefault="00EF26BC">
            <w:pPr>
              <w:rPr>
                <w:sz w:val="24"/>
                <w:szCs w:val="24"/>
              </w:rPr>
            </w:pPr>
          </w:p>
        </w:tc>
        <w:tc>
          <w:tcPr>
            <w:tcW w:w="720" w:type="dxa"/>
            <w:vMerge w:val="restart"/>
            <w:textDirection w:val="btLr"/>
            <w:vAlign w:val="bottom"/>
          </w:tcPr>
          <w:p w14:paraId="78AE9675" w14:textId="77777777" w:rsidR="00EF26BC" w:rsidRDefault="00343DF1">
            <w:pPr>
              <w:ind w:right="338"/>
              <w:rPr>
                <w:sz w:val="20"/>
                <w:szCs w:val="20"/>
              </w:rPr>
            </w:pPr>
            <w:r>
              <w:rPr>
                <w:rFonts w:ascii="Calibri" w:eastAsia="Calibri" w:hAnsi="Calibri" w:cs="Calibri"/>
                <w:color w:val="7F7F7F"/>
                <w:w w:val="98"/>
                <w:sz w:val="16"/>
                <w:szCs w:val="16"/>
              </w:rPr>
              <w:t>930</w:t>
            </w:r>
          </w:p>
        </w:tc>
        <w:tc>
          <w:tcPr>
            <w:tcW w:w="0" w:type="dxa"/>
            <w:vAlign w:val="bottom"/>
          </w:tcPr>
          <w:p w14:paraId="78AE9676" w14:textId="77777777" w:rsidR="00EF26BC" w:rsidRDefault="00EF26BC">
            <w:pPr>
              <w:rPr>
                <w:sz w:val="1"/>
                <w:szCs w:val="1"/>
              </w:rPr>
            </w:pPr>
          </w:p>
        </w:tc>
      </w:tr>
      <w:tr w:rsidR="00EF26BC" w14:paraId="78AE968C" w14:textId="77777777">
        <w:trPr>
          <w:trHeight w:val="621"/>
        </w:trPr>
        <w:tc>
          <w:tcPr>
            <w:tcW w:w="780" w:type="dxa"/>
            <w:vMerge/>
            <w:vAlign w:val="bottom"/>
          </w:tcPr>
          <w:p w14:paraId="78AE9678" w14:textId="77777777" w:rsidR="00EF26BC" w:rsidRDefault="00EF26BC">
            <w:pPr>
              <w:rPr>
                <w:sz w:val="24"/>
                <w:szCs w:val="24"/>
              </w:rPr>
            </w:pPr>
          </w:p>
        </w:tc>
        <w:tc>
          <w:tcPr>
            <w:tcW w:w="20" w:type="dxa"/>
            <w:shd w:val="clear" w:color="auto" w:fill="D9D9D9"/>
            <w:vAlign w:val="bottom"/>
          </w:tcPr>
          <w:p w14:paraId="78AE9679" w14:textId="77777777" w:rsidR="00EF26BC" w:rsidRDefault="00EF26BC">
            <w:pPr>
              <w:rPr>
                <w:sz w:val="24"/>
                <w:szCs w:val="24"/>
              </w:rPr>
            </w:pPr>
          </w:p>
        </w:tc>
        <w:tc>
          <w:tcPr>
            <w:tcW w:w="880" w:type="dxa"/>
            <w:vMerge/>
            <w:vAlign w:val="bottom"/>
          </w:tcPr>
          <w:p w14:paraId="78AE967A" w14:textId="77777777" w:rsidR="00EF26BC" w:rsidRDefault="00EF26BC">
            <w:pPr>
              <w:rPr>
                <w:sz w:val="24"/>
                <w:szCs w:val="24"/>
              </w:rPr>
            </w:pPr>
          </w:p>
        </w:tc>
        <w:tc>
          <w:tcPr>
            <w:tcW w:w="20" w:type="dxa"/>
            <w:shd w:val="clear" w:color="auto" w:fill="D9D9D9"/>
            <w:vAlign w:val="bottom"/>
          </w:tcPr>
          <w:p w14:paraId="78AE967B" w14:textId="77777777" w:rsidR="00EF26BC" w:rsidRDefault="00EF26BC">
            <w:pPr>
              <w:rPr>
                <w:sz w:val="24"/>
                <w:szCs w:val="24"/>
              </w:rPr>
            </w:pPr>
          </w:p>
        </w:tc>
        <w:tc>
          <w:tcPr>
            <w:tcW w:w="400" w:type="dxa"/>
            <w:vMerge/>
            <w:vAlign w:val="bottom"/>
          </w:tcPr>
          <w:p w14:paraId="78AE967C" w14:textId="77777777" w:rsidR="00EF26BC" w:rsidRDefault="00EF26BC">
            <w:pPr>
              <w:rPr>
                <w:sz w:val="24"/>
                <w:szCs w:val="24"/>
              </w:rPr>
            </w:pPr>
          </w:p>
        </w:tc>
        <w:tc>
          <w:tcPr>
            <w:tcW w:w="100" w:type="dxa"/>
            <w:vAlign w:val="bottom"/>
          </w:tcPr>
          <w:p w14:paraId="78AE967D" w14:textId="77777777" w:rsidR="00EF26BC" w:rsidRDefault="00EF26BC">
            <w:pPr>
              <w:rPr>
                <w:sz w:val="24"/>
                <w:szCs w:val="24"/>
              </w:rPr>
            </w:pPr>
          </w:p>
        </w:tc>
        <w:tc>
          <w:tcPr>
            <w:tcW w:w="400" w:type="dxa"/>
            <w:tcBorders>
              <w:right w:val="single" w:sz="8" w:space="0" w:color="D9D9D9"/>
            </w:tcBorders>
            <w:vAlign w:val="bottom"/>
          </w:tcPr>
          <w:p w14:paraId="78AE967E" w14:textId="77777777" w:rsidR="00EF26BC" w:rsidRDefault="00EF26BC">
            <w:pPr>
              <w:rPr>
                <w:sz w:val="24"/>
                <w:szCs w:val="24"/>
              </w:rPr>
            </w:pPr>
          </w:p>
        </w:tc>
        <w:tc>
          <w:tcPr>
            <w:tcW w:w="60" w:type="dxa"/>
            <w:vAlign w:val="bottom"/>
          </w:tcPr>
          <w:p w14:paraId="78AE967F" w14:textId="77777777" w:rsidR="00EF26BC" w:rsidRDefault="00EF26BC">
            <w:pPr>
              <w:rPr>
                <w:sz w:val="24"/>
                <w:szCs w:val="24"/>
              </w:rPr>
            </w:pPr>
          </w:p>
        </w:tc>
        <w:tc>
          <w:tcPr>
            <w:tcW w:w="220" w:type="dxa"/>
            <w:gridSpan w:val="2"/>
            <w:vMerge/>
            <w:vAlign w:val="bottom"/>
          </w:tcPr>
          <w:p w14:paraId="78AE9680" w14:textId="77777777" w:rsidR="00EF26BC" w:rsidRDefault="00EF26BC">
            <w:pPr>
              <w:rPr>
                <w:sz w:val="24"/>
                <w:szCs w:val="24"/>
              </w:rPr>
            </w:pPr>
          </w:p>
        </w:tc>
        <w:tc>
          <w:tcPr>
            <w:tcW w:w="620" w:type="dxa"/>
            <w:tcBorders>
              <w:right w:val="single" w:sz="8" w:space="0" w:color="D9D9D9"/>
            </w:tcBorders>
            <w:vAlign w:val="bottom"/>
          </w:tcPr>
          <w:p w14:paraId="78AE9681" w14:textId="77777777" w:rsidR="00EF26BC" w:rsidRDefault="00EF26BC">
            <w:pPr>
              <w:rPr>
                <w:sz w:val="24"/>
                <w:szCs w:val="24"/>
              </w:rPr>
            </w:pPr>
          </w:p>
        </w:tc>
        <w:tc>
          <w:tcPr>
            <w:tcW w:w="80" w:type="dxa"/>
            <w:vAlign w:val="bottom"/>
          </w:tcPr>
          <w:p w14:paraId="78AE9682" w14:textId="77777777" w:rsidR="00EF26BC" w:rsidRDefault="00EF26BC">
            <w:pPr>
              <w:rPr>
                <w:sz w:val="24"/>
                <w:szCs w:val="24"/>
              </w:rPr>
            </w:pPr>
          </w:p>
        </w:tc>
        <w:tc>
          <w:tcPr>
            <w:tcW w:w="200" w:type="dxa"/>
            <w:gridSpan w:val="2"/>
            <w:vMerge/>
            <w:vAlign w:val="bottom"/>
          </w:tcPr>
          <w:p w14:paraId="78AE9683" w14:textId="77777777" w:rsidR="00EF26BC" w:rsidRDefault="00EF26BC">
            <w:pPr>
              <w:rPr>
                <w:sz w:val="24"/>
                <w:szCs w:val="24"/>
              </w:rPr>
            </w:pPr>
          </w:p>
        </w:tc>
        <w:tc>
          <w:tcPr>
            <w:tcW w:w="620" w:type="dxa"/>
            <w:vAlign w:val="bottom"/>
          </w:tcPr>
          <w:p w14:paraId="78AE9684" w14:textId="77777777" w:rsidR="00EF26BC" w:rsidRDefault="00EF26BC">
            <w:pPr>
              <w:rPr>
                <w:sz w:val="24"/>
                <w:szCs w:val="24"/>
              </w:rPr>
            </w:pPr>
          </w:p>
        </w:tc>
        <w:tc>
          <w:tcPr>
            <w:tcW w:w="20" w:type="dxa"/>
            <w:shd w:val="clear" w:color="auto" w:fill="D9D9D9"/>
            <w:vAlign w:val="bottom"/>
          </w:tcPr>
          <w:p w14:paraId="78AE9685" w14:textId="77777777" w:rsidR="00EF26BC" w:rsidRDefault="00EF26BC">
            <w:pPr>
              <w:rPr>
                <w:sz w:val="24"/>
                <w:szCs w:val="24"/>
              </w:rPr>
            </w:pPr>
          </w:p>
        </w:tc>
        <w:tc>
          <w:tcPr>
            <w:tcW w:w="880" w:type="dxa"/>
            <w:gridSpan w:val="2"/>
            <w:vMerge/>
            <w:vAlign w:val="bottom"/>
          </w:tcPr>
          <w:p w14:paraId="78AE9686" w14:textId="77777777" w:rsidR="00EF26BC" w:rsidRDefault="00EF26BC">
            <w:pPr>
              <w:rPr>
                <w:sz w:val="24"/>
                <w:szCs w:val="24"/>
              </w:rPr>
            </w:pPr>
          </w:p>
        </w:tc>
        <w:tc>
          <w:tcPr>
            <w:tcW w:w="20" w:type="dxa"/>
            <w:shd w:val="clear" w:color="auto" w:fill="D9D9D9"/>
            <w:vAlign w:val="bottom"/>
          </w:tcPr>
          <w:p w14:paraId="78AE9687" w14:textId="77777777" w:rsidR="00EF26BC" w:rsidRDefault="00EF26BC">
            <w:pPr>
              <w:rPr>
                <w:sz w:val="24"/>
                <w:szCs w:val="24"/>
              </w:rPr>
            </w:pPr>
          </w:p>
        </w:tc>
        <w:tc>
          <w:tcPr>
            <w:tcW w:w="880" w:type="dxa"/>
            <w:vMerge/>
            <w:vAlign w:val="bottom"/>
          </w:tcPr>
          <w:p w14:paraId="78AE9688" w14:textId="77777777" w:rsidR="00EF26BC" w:rsidRDefault="00EF26BC">
            <w:pPr>
              <w:rPr>
                <w:sz w:val="24"/>
                <w:szCs w:val="24"/>
              </w:rPr>
            </w:pPr>
          </w:p>
        </w:tc>
        <w:tc>
          <w:tcPr>
            <w:tcW w:w="20" w:type="dxa"/>
            <w:shd w:val="clear" w:color="auto" w:fill="D9D9D9"/>
            <w:vAlign w:val="bottom"/>
          </w:tcPr>
          <w:p w14:paraId="78AE9689" w14:textId="77777777" w:rsidR="00EF26BC" w:rsidRDefault="00EF26BC">
            <w:pPr>
              <w:rPr>
                <w:sz w:val="24"/>
                <w:szCs w:val="24"/>
              </w:rPr>
            </w:pPr>
          </w:p>
        </w:tc>
        <w:tc>
          <w:tcPr>
            <w:tcW w:w="720" w:type="dxa"/>
            <w:vMerge/>
            <w:vAlign w:val="bottom"/>
          </w:tcPr>
          <w:p w14:paraId="78AE968A" w14:textId="77777777" w:rsidR="00EF26BC" w:rsidRDefault="00EF26BC">
            <w:pPr>
              <w:rPr>
                <w:sz w:val="24"/>
                <w:szCs w:val="24"/>
              </w:rPr>
            </w:pPr>
          </w:p>
        </w:tc>
        <w:tc>
          <w:tcPr>
            <w:tcW w:w="0" w:type="dxa"/>
            <w:vAlign w:val="bottom"/>
          </w:tcPr>
          <w:p w14:paraId="78AE968B" w14:textId="77777777" w:rsidR="00EF26BC" w:rsidRDefault="00EF26BC">
            <w:pPr>
              <w:rPr>
                <w:sz w:val="1"/>
                <w:szCs w:val="1"/>
              </w:rPr>
            </w:pPr>
          </w:p>
        </w:tc>
      </w:tr>
      <w:tr w:rsidR="00EF26BC" w14:paraId="78AE969D" w14:textId="77777777">
        <w:trPr>
          <w:trHeight w:val="1061"/>
        </w:trPr>
        <w:tc>
          <w:tcPr>
            <w:tcW w:w="780" w:type="dxa"/>
            <w:textDirection w:val="btLr"/>
            <w:vAlign w:val="bottom"/>
          </w:tcPr>
          <w:p w14:paraId="78AE968D" w14:textId="77777777" w:rsidR="00EF26BC" w:rsidRDefault="00343DF1">
            <w:pPr>
              <w:ind w:right="188"/>
              <w:rPr>
                <w:sz w:val="20"/>
                <w:szCs w:val="20"/>
              </w:rPr>
            </w:pPr>
            <w:r>
              <w:rPr>
                <w:rFonts w:ascii="Calibri" w:eastAsia="Calibri" w:hAnsi="Calibri" w:cs="Calibri"/>
                <w:color w:val="7F7F7F"/>
                <w:sz w:val="16"/>
                <w:szCs w:val="16"/>
              </w:rPr>
              <w:t>272  503</w:t>
            </w:r>
          </w:p>
        </w:tc>
        <w:tc>
          <w:tcPr>
            <w:tcW w:w="20" w:type="dxa"/>
            <w:shd w:val="clear" w:color="auto" w:fill="D9D9D9"/>
            <w:vAlign w:val="bottom"/>
          </w:tcPr>
          <w:p w14:paraId="78AE968E" w14:textId="77777777" w:rsidR="00EF26BC" w:rsidRDefault="00EF26BC">
            <w:pPr>
              <w:rPr>
                <w:sz w:val="24"/>
                <w:szCs w:val="24"/>
              </w:rPr>
            </w:pPr>
          </w:p>
        </w:tc>
        <w:tc>
          <w:tcPr>
            <w:tcW w:w="880" w:type="dxa"/>
            <w:textDirection w:val="btLr"/>
            <w:vAlign w:val="bottom"/>
          </w:tcPr>
          <w:p w14:paraId="78AE968F" w14:textId="77777777" w:rsidR="00EF26BC" w:rsidRDefault="00343DF1">
            <w:pPr>
              <w:ind w:right="30"/>
              <w:rPr>
                <w:sz w:val="20"/>
                <w:szCs w:val="20"/>
              </w:rPr>
            </w:pPr>
            <w:r>
              <w:rPr>
                <w:rFonts w:ascii="Calibri" w:eastAsia="Calibri" w:hAnsi="Calibri" w:cs="Calibri"/>
                <w:color w:val="7F7F7F"/>
                <w:sz w:val="16"/>
                <w:szCs w:val="16"/>
              </w:rPr>
              <w:t>370458166</w:t>
            </w:r>
          </w:p>
        </w:tc>
        <w:tc>
          <w:tcPr>
            <w:tcW w:w="20" w:type="dxa"/>
            <w:shd w:val="clear" w:color="auto" w:fill="D9D9D9"/>
            <w:vAlign w:val="bottom"/>
          </w:tcPr>
          <w:p w14:paraId="78AE9690" w14:textId="77777777" w:rsidR="00EF26BC" w:rsidRDefault="00EF26BC">
            <w:pPr>
              <w:rPr>
                <w:sz w:val="24"/>
                <w:szCs w:val="24"/>
              </w:rPr>
            </w:pPr>
          </w:p>
        </w:tc>
        <w:tc>
          <w:tcPr>
            <w:tcW w:w="900" w:type="dxa"/>
            <w:gridSpan w:val="3"/>
            <w:tcBorders>
              <w:right w:val="single" w:sz="8" w:space="0" w:color="D9D9D9"/>
            </w:tcBorders>
            <w:textDirection w:val="btLr"/>
            <w:vAlign w:val="bottom"/>
          </w:tcPr>
          <w:p w14:paraId="78AE9691" w14:textId="77777777" w:rsidR="00EF26BC" w:rsidRDefault="00343DF1">
            <w:pPr>
              <w:ind w:right="34"/>
              <w:rPr>
                <w:sz w:val="20"/>
                <w:szCs w:val="20"/>
              </w:rPr>
            </w:pPr>
            <w:r>
              <w:rPr>
                <w:rFonts w:ascii="Calibri" w:eastAsia="Calibri" w:hAnsi="Calibri" w:cs="Calibri"/>
                <w:color w:val="7F7F7F"/>
                <w:w w:val="74"/>
                <w:sz w:val="10"/>
                <w:szCs w:val="10"/>
              </w:rPr>
              <w:t>302247240</w:t>
            </w:r>
          </w:p>
        </w:tc>
        <w:tc>
          <w:tcPr>
            <w:tcW w:w="60" w:type="dxa"/>
            <w:vAlign w:val="bottom"/>
          </w:tcPr>
          <w:p w14:paraId="78AE9692" w14:textId="77777777" w:rsidR="00EF26BC" w:rsidRDefault="00EF26BC">
            <w:pPr>
              <w:rPr>
                <w:sz w:val="24"/>
                <w:szCs w:val="24"/>
              </w:rPr>
            </w:pPr>
          </w:p>
        </w:tc>
        <w:tc>
          <w:tcPr>
            <w:tcW w:w="840" w:type="dxa"/>
            <w:gridSpan w:val="3"/>
            <w:tcBorders>
              <w:right w:val="single" w:sz="8" w:space="0" w:color="D9D9D9"/>
            </w:tcBorders>
            <w:textDirection w:val="btLr"/>
            <w:vAlign w:val="bottom"/>
          </w:tcPr>
          <w:p w14:paraId="78AE9693" w14:textId="77777777" w:rsidR="00EF26BC" w:rsidRDefault="00343DF1">
            <w:pPr>
              <w:ind w:right="31"/>
              <w:rPr>
                <w:sz w:val="20"/>
                <w:szCs w:val="20"/>
              </w:rPr>
            </w:pPr>
            <w:r>
              <w:rPr>
                <w:rFonts w:ascii="Calibri" w:eastAsia="Calibri" w:hAnsi="Calibri" w:cs="Calibri"/>
                <w:color w:val="7F7F7F"/>
                <w:w w:val="71"/>
                <w:sz w:val="16"/>
                <w:szCs w:val="16"/>
              </w:rPr>
              <w:t>395244275</w:t>
            </w:r>
          </w:p>
        </w:tc>
        <w:tc>
          <w:tcPr>
            <w:tcW w:w="80" w:type="dxa"/>
            <w:vAlign w:val="bottom"/>
          </w:tcPr>
          <w:p w14:paraId="78AE9694" w14:textId="77777777" w:rsidR="00EF26BC" w:rsidRDefault="00EF26BC">
            <w:pPr>
              <w:rPr>
                <w:sz w:val="24"/>
                <w:szCs w:val="24"/>
              </w:rPr>
            </w:pPr>
          </w:p>
        </w:tc>
        <w:tc>
          <w:tcPr>
            <w:tcW w:w="820" w:type="dxa"/>
            <w:gridSpan w:val="3"/>
            <w:textDirection w:val="btLr"/>
            <w:vAlign w:val="bottom"/>
          </w:tcPr>
          <w:p w14:paraId="78AE9695" w14:textId="77777777" w:rsidR="00EF26BC" w:rsidRDefault="00343DF1">
            <w:pPr>
              <w:ind w:right="27"/>
              <w:rPr>
                <w:sz w:val="20"/>
                <w:szCs w:val="20"/>
              </w:rPr>
            </w:pPr>
            <w:r>
              <w:rPr>
                <w:rFonts w:ascii="Calibri" w:eastAsia="Calibri" w:hAnsi="Calibri" w:cs="Calibri"/>
                <w:color w:val="7F7F7F"/>
                <w:w w:val="73"/>
                <w:sz w:val="16"/>
                <w:szCs w:val="16"/>
              </w:rPr>
              <w:t>407279239</w:t>
            </w:r>
          </w:p>
        </w:tc>
        <w:tc>
          <w:tcPr>
            <w:tcW w:w="20" w:type="dxa"/>
            <w:shd w:val="clear" w:color="auto" w:fill="D9D9D9"/>
            <w:vAlign w:val="bottom"/>
          </w:tcPr>
          <w:p w14:paraId="78AE9696" w14:textId="77777777" w:rsidR="00EF26BC" w:rsidRDefault="00EF26BC">
            <w:pPr>
              <w:rPr>
                <w:sz w:val="24"/>
                <w:szCs w:val="24"/>
              </w:rPr>
            </w:pPr>
          </w:p>
        </w:tc>
        <w:tc>
          <w:tcPr>
            <w:tcW w:w="880" w:type="dxa"/>
            <w:gridSpan w:val="2"/>
            <w:textDirection w:val="btLr"/>
            <w:vAlign w:val="bottom"/>
          </w:tcPr>
          <w:p w14:paraId="78AE9697" w14:textId="77777777" w:rsidR="00EF26BC" w:rsidRDefault="00343DF1">
            <w:pPr>
              <w:ind w:right="23"/>
              <w:rPr>
                <w:sz w:val="20"/>
                <w:szCs w:val="20"/>
              </w:rPr>
            </w:pPr>
            <w:r>
              <w:rPr>
                <w:rFonts w:ascii="Calibri" w:eastAsia="Calibri" w:hAnsi="Calibri" w:cs="Calibri"/>
                <w:color w:val="7F7F7F"/>
                <w:w w:val="71"/>
                <w:sz w:val="11"/>
                <w:szCs w:val="11"/>
              </w:rPr>
              <w:t>386351323</w:t>
            </w:r>
          </w:p>
        </w:tc>
        <w:tc>
          <w:tcPr>
            <w:tcW w:w="20" w:type="dxa"/>
            <w:shd w:val="clear" w:color="auto" w:fill="D9D9D9"/>
            <w:vAlign w:val="bottom"/>
          </w:tcPr>
          <w:p w14:paraId="78AE9698" w14:textId="77777777" w:rsidR="00EF26BC" w:rsidRDefault="00EF26BC">
            <w:pPr>
              <w:rPr>
                <w:sz w:val="24"/>
                <w:szCs w:val="24"/>
              </w:rPr>
            </w:pPr>
          </w:p>
        </w:tc>
        <w:tc>
          <w:tcPr>
            <w:tcW w:w="880" w:type="dxa"/>
            <w:textDirection w:val="btLr"/>
            <w:vAlign w:val="bottom"/>
          </w:tcPr>
          <w:p w14:paraId="78AE9699" w14:textId="77777777" w:rsidR="00EF26BC" w:rsidRDefault="00343DF1">
            <w:pPr>
              <w:ind w:right="40"/>
              <w:rPr>
                <w:sz w:val="20"/>
                <w:szCs w:val="20"/>
              </w:rPr>
            </w:pPr>
            <w:r>
              <w:rPr>
                <w:rFonts w:ascii="Calibri" w:eastAsia="Calibri" w:hAnsi="Calibri" w:cs="Calibri"/>
                <w:color w:val="7F7F7F"/>
                <w:w w:val="72"/>
                <w:sz w:val="12"/>
                <w:szCs w:val="12"/>
              </w:rPr>
              <w:t>397305320</w:t>
            </w:r>
          </w:p>
        </w:tc>
        <w:tc>
          <w:tcPr>
            <w:tcW w:w="20" w:type="dxa"/>
            <w:shd w:val="clear" w:color="auto" w:fill="D9D9D9"/>
            <w:vAlign w:val="bottom"/>
          </w:tcPr>
          <w:p w14:paraId="78AE969A" w14:textId="77777777" w:rsidR="00EF26BC" w:rsidRDefault="00EF26BC">
            <w:pPr>
              <w:rPr>
                <w:sz w:val="24"/>
                <w:szCs w:val="24"/>
              </w:rPr>
            </w:pPr>
          </w:p>
        </w:tc>
        <w:tc>
          <w:tcPr>
            <w:tcW w:w="720" w:type="dxa"/>
            <w:textDirection w:val="btLr"/>
            <w:vAlign w:val="bottom"/>
          </w:tcPr>
          <w:p w14:paraId="78AE969B" w14:textId="77777777" w:rsidR="00EF26BC" w:rsidRDefault="00343DF1">
            <w:pPr>
              <w:rPr>
                <w:sz w:val="20"/>
                <w:szCs w:val="20"/>
              </w:rPr>
            </w:pPr>
            <w:r>
              <w:rPr>
                <w:rFonts w:ascii="Calibri" w:eastAsia="Calibri" w:hAnsi="Calibri" w:cs="Calibri"/>
                <w:color w:val="7F7F7F"/>
                <w:w w:val="72"/>
                <w:sz w:val="12"/>
                <w:szCs w:val="12"/>
              </w:rPr>
              <w:t>365293272</w:t>
            </w:r>
          </w:p>
        </w:tc>
        <w:tc>
          <w:tcPr>
            <w:tcW w:w="0" w:type="dxa"/>
            <w:vAlign w:val="bottom"/>
          </w:tcPr>
          <w:p w14:paraId="78AE969C" w14:textId="77777777" w:rsidR="00EF26BC" w:rsidRDefault="00EF26BC">
            <w:pPr>
              <w:rPr>
                <w:sz w:val="1"/>
                <w:szCs w:val="1"/>
              </w:rPr>
            </w:pPr>
          </w:p>
        </w:tc>
      </w:tr>
      <w:tr w:rsidR="00EF26BC" w14:paraId="78AE96B5" w14:textId="77777777">
        <w:trPr>
          <w:trHeight w:val="288"/>
        </w:trPr>
        <w:tc>
          <w:tcPr>
            <w:tcW w:w="780" w:type="dxa"/>
            <w:textDirection w:val="btLr"/>
            <w:vAlign w:val="bottom"/>
          </w:tcPr>
          <w:p w14:paraId="78AE969E" w14:textId="77777777" w:rsidR="00EF26BC" w:rsidRDefault="00343DF1">
            <w:pPr>
              <w:ind w:right="34"/>
              <w:rPr>
                <w:sz w:val="20"/>
                <w:szCs w:val="20"/>
              </w:rPr>
            </w:pPr>
            <w:r>
              <w:rPr>
                <w:rFonts w:ascii="Calibri" w:eastAsia="Calibri" w:hAnsi="Calibri" w:cs="Calibri"/>
                <w:color w:val="7F7F7F"/>
                <w:w w:val="97"/>
                <w:sz w:val="16"/>
                <w:szCs w:val="16"/>
              </w:rPr>
              <w:t>0</w:t>
            </w:r>
          </w:p>
        </w:tc>
        <w:tc>
          <w:tcPr>
            <w:tcW w:w="20" w:type="dxa"/>
            <w:shd w:val="clear" w:color="auto" w:fill="D9D9D9"/>
            <w:vAlign w:val="bottom"/>
          </w:tcPr>
          <w:p w14:paraId="78AE969F" w14:textId="77777777" w:rsidR="00EF26BC" w:rsidRDefault="00EF26BC">
            <w:pPr>
              <w:rPr>
                <w:sz w:val="24"/>
                <w:szCs w:val="24"/>
              </w:rPr>
            </w:pPr>
          </w:p>
        </w:tc>
        <w:tc>
          <w:tcPr>
            <w:tcW w:w="880" w:type="dxa"/>
            <w:vAlign w:val="bottom"/>
          </w:tcPr>
          <w:p w14:paraId="78AE96A0" w14:textId="77777777" w:rsidR="00EF26BC" w:rsidRDefault="00EF26BC">
            <w:pPr>
              <w:rPr>
                <w:sz w:val="24"/>
                <w:szCs w:val="24"/>
              </w:rPr>
            </w:pPr>
          </w:p>
        </w:tc>
        <w:tc>
          <w:tcPr>
            <w:tcW w:w="20" w:type="dxa"/>
            <w:shd w:val="clear" w:color="auto" w:fill="D9D9D9"/>
            <w:vAlign w:val="bottom"/>
          </w:tcPr>
          <w:p w14:paraId="78AE96A1" w14:textId="77777777" w:rsidR="00EF26BC" w:rsidRDefault="00EF26BC">
            <w:pPr>
              <w:rPr>
                <w:sz w:val="24"/>
                <w:szCs w:val="24"/>
              </w:rPr>
            </w:pPr>
          </w:p>
        </w:tc>
        <w:tc>
          <w:tcPr>
            <w:tcW w:w="400" w:type="dxa"/>
            <w:vAlign w:val="bottom"/>
          </w:tcPr>
          <w:p w14:paraId="78AE96A2" w14:textId="77777777" w:rsidR="00EF26BC" w:rsidRDefault="00EF26BC">
            <w:pPr>
              <w:rPr>
                <w:sz w:val="24"/>
                <w:szCs w:val="24"/>
              </w:rPr>
            </w:pPr>
          </w:p>
        </w:tc>
        <w:tc>
          <w:tcPr>
            <w:tcW w:w="100" w:type="dxa"/>
            <w:vAlign w:val="bottom"/>
          </w:tcPr>
          <w:p w14:paraId="78AE96A3" w14:textId="77777777" w:rsidR="00EF26BC" w:rsidRDefault="00EF26BC">
            <w:pPr>
              <w:rPr>
                <w:sz w:val="24"/>
                <w:szCs w:val="24"/>
              </w:rPr>
            </w:pPr>
          </w:p>
        </w:tc>
        <w:tc>
          <w:tcPr>
            <w:tcW w:w="400" w:type="dxa"/>
            <w:tcBorders>
              <w:right w:val="single" w:sz="8" w:space="0" w:color="D9D9D9"/>
            </w:tcBorders>
            <w:vAlign w:val="bottom"/>
          </w:tcPr>
          <w:p w14:paraId="78AE96A4" w14:textId="77777777" w:rsidR="00EF26BC" w:rsidRDefault="00EF26BC">
            <w:pPr>
              <w:rPr>
                <w:sz w:val="24"/>
                <w:szCs w:val="24"/>
              </w:rPr>
            </w:pPr>
          </w:p>
        </w:tc>
        <w:tc>
          <w:tcPr>
            <w:tcW w:w="60" w:type="dxa"/>
            <w:vAlign w:val="bottom"/>
          </w:tcPr>
          <w:p w14:paraId="78AE96A5" w14:textId="77777777" w:rsidR="00EF26BC" w:rsidRDefault="00EF26BC">
            <w:pPr>
              <w:rPr>
                <w:sz w:val="24"/>
                <w:szCs w:val="24"/>
              </w:rPr>
            </w:pPr>
          </w:p>
        </w:tc>
        <w:tc>
          <w:tcPr>
            <w:tcW w:w="120" w:type="dxa"/>
            <w:vAlign w:val="bottom"/>
          </w:tcPr>
          <w:p w14:paraId="78AE96A6" w14:textId="77777777" w:rsidR="00EF26BC" w:rsidRDefault="00EF26BC">
            <w:pPr>
              <w:rPr>
                <w:sz w:val="24"/>
                <w:szCs w:val="24"/>
              </w:rPr>
            </w:pPr>
          </w:p>
        </w:tc>
        <w:tc>
          <w:tcPr>
            <w:tcW w:w="100" w:type="dxa"/>
            <w:vAlign w:val="bottom"/>
          </w:tcPr>
          <w:p w14:paraId="78AE96A7" w14:textId="77777777" w:rsidR="00EF26BC" w:rsidRDefault="00EF26BC">
            <w:pPr>
              <w:rPr>
                <w:sz w:val="24"/>
                <w:szCs w:val="24"/>
              </w:rPr>
            </w:pPr>
          </w:p>
        </w:tc>
        <w:tc>
          <w:tcPr>
            <w:tcW w:w="620" w:type="dxa"/>
            <w:tcBorders>
              <w:right w:val="single" w:sz="8" w:space="0" w:color="D9D9D9"/>
            </w:tcBorders>
            <w:vAlign w:val="bottom"/>
          </w:tcPr>
          <w:p w14:paraId="78AE96A8" w14:textId="77777777" w:rsidR="00EF26BC" w:rsidRDefault="00EF26BC">
            <w:pPr>
              <w:rPr>
                <w:sz w:val="24"/>
                <w:szCs w:val="24"/>
              </w:rPr>
            </w:pPr>
          </w:p>
        </w:tc>
        <w:tc>
          <w:tcPr>
            <w:tcW w:w="80" w:type="dxa"/>
            <w:vAlign w:val="bottom"/>
          </w:tcPr>
          <w:p w14:paraId="78AE96A9" w14:textId="77777777" w:rsidR="00EF26BC" w:rsidRDefault="00EF26BC">
            <w:pPr>
              <w:rPr>
                <w:sz w:val="24"/>
                <w:szCs w:val="24"/>
              </w:rPr>
            </w:pPr>
          </w:p>
        </w:tc>
        <w:tc>
          <w:tcPr>
            <w:tcW w:w="100" w:type="dxa"/>
            <w:vAlign w:val="bottom"/>
          </w:tcPr>
          <w:p w14:paraId="78AE96AA" w14:textId="77777777" w:rsidR="00EF26BC" w:rsidRDefault="00EF26BC">
            <w:pPr>
              <w:rPr>
                <w:sz w:val="24"/>
                <w:szCs w:val="24"/>
              </w:rPr>
            </w:pPr>
          </w:p>
        </w:tc>
        <w:tc>
          <w:tcPr>
            <w:tcW w:w="100" w:type="dxa"/>
            <w:vAlign w:val="bottom"/>
          </w:tcPr>
          <w:p w14:paraId="78AE96AB" w14:textId="77777777" w:rsidR="00EF26BC" w:rsidRDefault="00EF26BC">
            <w:pPr>
              <w:rPr>
                <w:sz w:val="24"/>
                <w:szCs w:val="24"/>
              </w:rPr>
            </w:pPr>
          </w:p>
        </w:tc>
        <w:tc>
          <w:tcPr>
            <w:tcW w:w="620" w:type="dxa"/>
            <w:vAlign w:val="bottom"/>
          </w:tcPr>
          <w:p w14:paraId="78AE96AC" w14:textId="77777777" w:rsidR="00EF26BC" w:rsidRDefault="00EF26BC">
            <w:pPr>
              <w:rPr>
                <w:sz w:val="24"/>
                <w:szCs w:val="24"/>
              </w:rPr>
            </w:pPr>
          </w:p>
        </w:tc>
        <w:tc>
          <w:tcPr>
            <w:tcW w:w="20" w:type="dxa"/>
            <w:shd w:val="clear" w:color="auto" w:fill="D9D9D9"/>
            <w:vAlign w:val="bottom"/>
          </w:tcPr>
          <w:p w14:paraId="78AE96AD" w14:textId="77777777" w:rsidR="00EF26BC" w:rsidRDefault="00EF26BC">
            <w:pPr>
              <w:rPr>
                <w:sz w:val="24"/>
                <w:szCs w:val="24"/>
              </w:rPr>
            </w:pPr>
          </w:p>
        </w:tc>
        <w:tc>
          <w:tcPr>
            <w:tcW w:w="80" w:type="dxa"/>
            <w:vAlign w:val="bottom"/>
          </w:tcPr>
          <w:p w14:paraId="78AE96AE" w14:textId="77777777" w:rsidR="00EF26BC" w:rsidRDefault="00EF26BC">
            <w:pPr>
              <w:rPr>
                <w:sz w:val="24"/>
                <w:szCs w:val="24"/>
              </w:rPr>
            </w:pPr>
          </w:p>
        </w:tc>
        <w:tc>
          <w:tcPr>
            <w:tcW w:w="800" w:type="dxa"/>
            <w:vAlign w:val="bottom"/>
          </w:tcPr>
          <w:p w14:paraId="78AE96AF" w14:textId="77777777" w:rsidR="00EF26BC" w:rsidRDefault="00EF26BC">
            <w:pPr>
              <w:rPr>
                <w:sz w:val="24"/>
                <w:szCs w:val="24"/>
              </w:rPr>
            </w:pPr>
          </w:p>
        </w:tc>
        <w:tc>
          <w:tcPr>
            <w:tcW w:w="20" w:type="dxa"/>
            <w:shd w:val="clear" w:color="auto" w:fill="D9D9D9"/>
            <w:vAlign w:val="bottom"/>
          </w:tcPr>
          <w:p w14:paraId="78AE96B0" w14:textId="77777777" w:rsidR="00EF26BC" w:rsidRDefault="00EF26BC">
            <w:pPr>
              <w:rPr>
                <w:sz w:val="24"/>
                <w:szCs w:val="24"/>
              </w:rPr>
            </w:pPr>
          </w:p>
        </w:tc>
        <w:tc>
          <w:tcPr>
            <w:tcW w:w="880" w:type="dxa"/>
            <w:vAlign w:val="bottom"/>
          </w:tcPr>
          <w:p w14:paraId="78AE96B1" w14:textId="77777777" w:rsidR="00EF26BC" w:rsidRDefault="00EF26BC">
            <w:pPr>
              <w:rPr>
                <w:sz w:val="24"/>
                <w:szCs w:val="24"/>
              </w:rPr>
            </w:pPr>
          </w:p>
        </w:tc>
        <w:tc>
          <w:tcPr>
            <w:tcW w:w="20" w:type="dxa"/>
            <w:shd w:val="clear" w:color="auto" w:fill="D9D9D9"/>
            <w:vAlign w:val="bottom"/>
          </w:tcPr>
          <w:p w14:paraId="78AE96B2" w14:textId="77777777" w:rsidR="00EF26BC" w:rsidRDefault="00EF26BC">
            <w:pPr>
              <w:rPr>
                <w:sz w:val="24"/>
                <w:szCs w:val="24"/>
              </w:rPr>
            </w:pPr>
          </w:p>
        </w:tc>
        <w:tc>
          <w:tcPr>
            <w:tcW w:w="720" w:type="dxa"/>
            <w:vAlign w:val="bottom"/>
          </w:tcPr>
          <w:p w14:paraId="78AE96B3" w14:textId="77777777" w:rsidR="00EF26BC" w:rsidRDefault="00EF26BC">
            <w:pPr>
              <w:rPr>
                <w:sz w:val="24"/>
                <w:szCs w:val="24"/>
              </w:rPr>
            </w:pPr>
          </w:p>
        </w:tc>
        <w:tc>
          <w:tcPr>
            <w:tcW w:w="0" w:type="dxa"/>
            <w:vAlign w:val="bottom"/>
          </w:tcPr>
          <w:p w14:paraId="78AE96B4" w14:textId="77777777" w:rsidR="00EF26BC" w:rsidRDefault="00EF26BC">
            <w:pPr>
              <w:rPr>
                <w:sz w:val="1"/>
                <w:szCs w:val="1"/>
              </w:rPr>
            </w:pPr>
          </w:p>
        </w:tc>
      </w:tr>
      <w:tr w:rsidR="00EF26BC" w14:paraId="78AE96CD" w14:textId="77777777">
        <w:trPr>
          <w:trHeight w:val="121"/>
        </w:trPr>
        <w:tc>
          <w:tcPr>
            <w:tcW w:w="780" w:type="dxa"/>
            <w:vAlign w:val="bottom"/>
          </w:tcPr>
          <w:p w14:paraId="78AE96B6" w14:textId="77777777" w:rsidR="00EF26BC" w:rsidRDefault="00EF26BC">
            <w:pPr>
              <w:rPr>
                <w:sz w:val="10"/>
                <w:szCs w:val="10"/>
              </w:rPr>
            </w:pPr>
          </w:p>
        </w:tc>
        <w:tc>
          <w:tcPr>
            <w:tcW w:w="20" w:type="dxa"/>
            <w:shd w:val="clear" w:color="auto" w:fill="D9D9D9"/>
            <w:vAlign w:val="bottom"/>
          </w:tcPr>
          <w:p w14:paraId="78AE96B7" w14:textId="77777777" w:rsidR="00EF26BC" w:rsidRDefault="00EF26BC">
            <w:pPr>
              <w:rPr>
                <w:sz w:val="10"/>
                <w:szCs w:val="10"/>
              </w:rPr>
            </w:pPr>
          </w:p>
        </w:tc>
        <w:tc>
          <w:tcPr>
            <w:tcW w:w="880" w:type="dxa"/>
            <w:vAlign w:val="bottom"/>
          </w:tcPr>
          <w:p w14:paraId="78AE96B8" w14:textId="77777777" w:rsidR="00EF26BC" w:rsidRDefault="00EF26BC">
            <w:pPr>
              <w:rPr>
                <w:sz w:val="10"/>
                <w:szCs w:val="10"/>
              </w:rPr>
            </w:pPr>
          </w:p>
        </w:tc>
        <w:tc>
          <w:tcPr>
            <w:tcW w:w="20" w:type="dxa"/>
            <w:shd w:val="clear" w:color="auto" w:fill="D9D9D9"/>
            <w:vAlign w:val="bottom"/>
          </w:tcPr>
          <w:p w14:paraId="78AE96B9" w14:textId="77777777" w:rsidR="00EF26BC" w:rsidRDefault="00EF26BC">
            <w:pPr>
              <w:rPr>
                <w:sz w:val="10"/>
                <w:szCs w:val="10"/>
              </w:rPr>
            </w:pPr>
          </w:p>
        </w:tc>
        <w:tc>
          <w:tcPr>
            <w:tcW w:w="400" w:type="dxa"/>
            <w:vAlign w:val="bottom"/>
          </w:tcPr>
          <w:p w14:paraId="78AE96BA" w14:textId="77777777" w:rsidR="00EF26BC" w:rsidRDefault="00EF26BC">
            <w:pPr>
              <w:rPr>
                <w:sz w:val="10"/>
                <w:szCs w:val="10"/>
              </w:rPr>
            </w:pPr>
          </w:p>
        </w:tc>
        <w:tc>
          <w:tcPr>
            <w:tcW w:w="100" w:type="dxa"/>
            <w:vAlign w:val="bottom"/>
          </w:tcPr>
          <w:p w14:paraId="78AE96BB" w14:textId="77777777" w:rsidR="00EF26BC" w:rsidRDefault="00EF26BC">
            <w:pPr>
              <w:rPr>
                <w:sz w:val="10"/>
                <w:szCs w:val="10"/>
              </w:rPr>
            </w:pPr>
          </w:p>
        </w:tc>
        <w:tc>
          <w:tcPr>
            <w:tcW w:w="400" w:type="dxa"/>
            <w:tcBorders>
              <w:right w:val="single" w:sz="8" w:space="0" w:color="D9D9D9"/>
            </w:tcBorders>
            <w:vAlign w:val="bottom"/>
          </w:tcPr>
          <w:p w14:paraId="78AE96BC" w14:textId="77777777" w:rsidR="00EF26BC" w:rsidRDefault="00EF26BC">
            <w:pPr>
              <w:rPr>
                <w:sz w:val="10"/>
                <w:szCs w:val="10"/>
              </w:rPr>
            </w:pPr>
          </w:p>
        </w:tc>
        <w:tc>
          <w:tcPr>
            <w:tcW w:w="60" w:type="dxa"/>
            <w:vAlign w:val="bottom"/>
          </w:tcPr>
          <w:p w14:paraId="78AE96BD" w14:textId="77777777" w:rsidR="00EF26BC" w:rsidRDefault="00EF26BC">
            <w:pPr>
              <w:rPr>
                <w:sz w:val="10"/>
                <w:szCs w:val="10"/>
              </w:rPr>
            </w:pPr>
          </w:p>
        </w:tc>
        <w:tc>
          <w:tcPr>
            <w:tcW w:w="120" w:type="dxa"/>
            <w:vAlign w:val="bottom"/>
          </w:tcPr>
          <w:p w14:paraId="78AE96BE" w14:textId="77777777" w:rsidR="00EF26BC" w:rsidRDefault="00EF26BC">
            <w:pPr>
              <w:rPr>
                <w:sz w:val="10"/>
                <w:szCs w:val="10"/>
              </w:rPr>
            </w:pPr>
          </w:p>
        </w:tc>
        <w:tc>
          <w:tcPr>
            <w:tcW w:w="100" w:type="dxa"/>
            <w:vAlign w:val="bottom"/>
          </w:tcPr>
          <w:p w14:paraId="78AE96BF" w14:textId="77777777" w:rsidR="00EF26BC" w:rsidRDefault="00EF26BC">
            <w:pPr>
              <w:rPr>
                <w:sz w:val="10"/>
                <w:szCs w:val="10"/>
              </w:rPr>
            </w:pPr>
          </w:p>
        </w:tc>
        <w:tc>
          <w:tcPr>
            <w:tcW w:w="620" w:type="dxa"/>
            <w:tcBorders>
              <w:right w:val="single" w:sz="8" w:space="0" w:color="D9D9D9"/>
            </w:tcBorders>
            <w:vAlign w:val="bottom"/>
          </w:tcPr>
          <w:p w14:paraId="78AE96C0" w14:textId="77777777" w:rsidR="00EF26BC" w:rsidRDefault="00EF26BC">
            <w:pPr>
              <w:rPr>
                <w:sz w:val="10"/>
                <w:szCs w:val="10"/>
              </w:rPr>
            </w:pPr>
          </w:p>
        </w:tc>
        <w:tc>
          <w:tcPr>
            <w:tcW w:w="80" w:type="dxa"/>
            <w:vAlign w:val="bottom"/>
          </w:tcPr>
          <w:p w14:paraId="78AE96C1" w14:textId="77777777" w:rsidR="00EF26BC" w:rsidRDefault="00EF26BC">
            <w:pPr>
              <w:rPr>
                <w:sz w:val="10"/>
                <w:szCs w:val="10"/>
              </w:rPr>
            </w:pPr>
          </w:p>
        </w:tc>
        <w:tc>
          <w:tcPr>
            <w:tcW w:w="100" w:type="dxa"/>
            <w:vAlign w:val="bottom"/>
          </w:tcPr>
          <w:p w14:paraId="78AE96C2" w14:textId="77777777" w:rsidR="00EF26BC" w:rsidRDefault="00EF26BC">
            <w:pPr>
              <w:rPr>
                <w:sz w:val="10"/>
                <w:szCs w:val="10"/>
              </w:rPr>
            </w:pPr>
          </w:p>
        </w:tc>
        <w:tc>
          <w:tcPr>
            <w:tcW w:w="100" w:type="dxa"/>
            <w:vAlign w:val="bottom"/>
          </w:tcPr>
          <w:p w14:paraId="78AE96C3" w14:textId="77777777" w:rsidR="00EF26BC" w:rsidRDefault="00EF26BC">
            <w:pPr>
              <w:rPr>
                <w:sz w:val="10"/>
                <w:szCs w:val="10"/>
              </w:rPr>
            </w:pPr>
          </w:p>
        </w:tc>
        <w:tc>
          <w:tcPr>
            <w:tcW w:w="620" w:type="dxa"/>
            <w:vAlign w:val="bottom"/>
          </w:tcPr>
          <w:p w14:paraId="78AE96C4" w14:textId="77777777" w:rsidR="00EF26BC" w:rsidRDefault="00EF26BC">
            <w:pPr>
              <w:rPr>
                <w:sz w:val="10"/>
                <w:szCs w:val="10"/>
              </w:rPr>
            </w:pPr>
          </w:p>
        </w:tc>
        <w:tc>
          <w:tcPr>
            <w:tcW w:w="20" w:type="dxa"/>
            <w:shd w:val="clear" w:color="auto" w:fill="D9D9D9"/>
            <w:vAlign w:val="bottom"/>
          </w:tcPr>
          <w:p w14:paraId="78AE96C5" w14:textId="77777777" w:rsidR="00EF26BC" w:rsidRDefault="00EF26BC">
            <w:pPr>
              <w:rPr>
                <w:sz w:val="10"/>
                <w:szCs w:val="10"/>
              </w:rPr>
            </w:pPr>
          </w:p>
        </w:tc>
        <w:tc>
          <w:tcPr>
            <w:tcW w:w="80" w:type="dxa"/>
            <w:vAlign w:val="bottom"/>
          </w:tcPr>
          <w:p w14:paraId="78AE96C6" w14:textId="77777777" w:rsidR="00EF26BC" w:rsidRDefault="00EF26BC">
            <w:pPr>
              <w:rPr>
                <w:sz w:val="10"/>
                <w:szCs w:val="10"/>
              </w:rPr>
            </w:pPr>
          </w:p>
        </w:tc>
        <w:tc>
          <w:tcPr>
            <w:tcW w:w="800" w:type="dxa"/>
            <w:vAlign w:val="bottom"/>
          </w:tcPr>
          <w:p w14:paraId="78AE96C7" w14:textId="77777777" w:rsidR="00EF26BC" w:rsidRDefault="00EF26BC">
            <w:pPr>
              <w:rPr>
                <w:sz w:val="10"/>
                <w:szCs w:val="10"/>
              </w:rPr>
            </w:pPr>
          </w:p>
        </w:tc>
        <w:tc>
          <w:tcPr>
            <w:tcW w:w="20" w:type="dxa"/>
            <w:shd w:val="clear" w:color="auto" w:fill="D9D9D9"/>
            <w:vAlign w:val="bottom"/>
          </w:tcPr>
          <w:p w14:paraId="78AE96C8" w14:textId="77777777" w:rsidR="00EF26BC" w:rsidRDefault="00EF26BC">
            <w:pPr>
              <w:rPr>
                <w:sz w:val="10"/>
                <w:szCs w:val="10"/>
              </w:rPr>
            </w:pPr>
          </w:p>
        </w:tc>
        <w:tc>
          <w:tcPr>
            <w:tcW w:w="880" w:type="dxa"/>
            <w:vAlign w:val="bottom"/>
          </w:tcPr>
          <w:p w14:paraId="78AE96C9" w14:textId="77777777" w:rsidR="00EF26BC" w:rsidRDefault="00EF26BC">
            <w:pPr>
              <w:rPr>
                <w:sz w:val="10"/>
                <w:szCs w:val="10"/>
              </w:rPr>
            </w:pPr>
          </w:p>
        </w:tc>
        <w:tc>
          <w:tcPr>
            <w:tcW w:w="20" w:type="dxa"/>
            <w:shd w:val="clear" w:color="auto" w:fill="D9D9D9"/>
            <w:vAlign w:val="bottom"/>
          </w:tcPr>
          <w:p w14:paraId="78AE96CA" w14:textId="77777777" w:rsidR="00EF26BC" w:rsidRDefault="00EF26BC">
            <w:pPr>
              <w:rPr>
                <w:sz w:val="10"/>
                <w:szCs w:val="10"/>
              </w:rPr>
            </w:pPr>
          </w:p>
        </w:tc>
        <w:tc>
          <w:tcPr>
            <w:tcW w:w="720" w:type="dxa"/>
            <w:vAlign w:val="bottom"/>
          </w:tcPr>
          <w:p w14:paraId="78AE96CB" w14:textId="77777777" w:rsidR="00EF26BC" w:rsidRDefault="00EF26BC">
            <w:pPr>
              <w:rPr>
                <w:sz w:val="10"/>
                <w:szCs w:val="10"/>
              </w:rPr>
            </w:pPr>
          </w:p>
        </w:tc>
        <w:tc>
          <w:tcPr>
            <w:tcW w:w="0" w:type="dxa"/>
            <w:vAlign w:val="bottom"/>
          </w:tcPr>
          <w:p w14:paraId="78AE96CC" w14:textId="77777777" w:rsidR="00EF26BC" w:rsidRDefault="00EF26BC">
            <w:pPr>
              <w:rPr>
                <w:sz w:val="1"/>
                <w:szCs w:val="1"/>
              </w:rPr>
            </w:pPr>
          </w:p>
        </w:tc>
      </w:tr>
      <w:tr w:rsidR="00EF26BC" w14:paraId="78AE96D9" w14:textId="77777777">
        <w:trPr>
          <w:trHeight w:val="301"/>
        </w:trPr>
        <w:tc>
          <w:tcPr>
            <w:tcW w:w="780" w:type="dxa"/>
            <w:vAlign w:val="bottom"/>
          </w:tcPr>
          <w:p w14:paraId="78AE96CE" w14:textId="77777777" w:rsidR="00EF26BC" w:rsidRDefault="00343DF1">
            <w:pPr>
              <w:ind w:right="181"/>
              <w:jc w:val="right"/>
              <w:rPr>
                <w:sz w:val="20"/>
                <w:szCs w:val="20"/>
              </w:rPr>
            </w:pPr>
            <w:r>
              <w:rPr>
                <w:rFonts w:ascii="Calibri" w:eastAsia="Calibri" w:hAnsi="Calibri" w:cs="Calibri"/>
                <w:color w:val="595959"/>
                <w:sz w:val="16"/>
                <w:szCs w:val="16"/>
              </w:rPr>
              <w:t>2011</w:t>
            </w:r>
          </w:p>
        </w:tc>
        <w:tc>
          <w:tcPr>
            <w:tcW w:w="900" w:type="dxa"/>
            <w:gridSpan w:val="2"/>
            <w:vAlign w:val="bottom"/>
          </w:tcPr>
          <w:p w14:paraId="78AE96CF" w14:textId="77777777" w:rsidR="00EF26BC" w:rsidRDefault="00343DF1">
            <w:pPr>
              <w:ind w:right="181"/>
              <w:jc w:val="right"/>
              <w:rPr>
                <w:sz w:val="20"/>
                <w:szCs w:val="20"/>
              </w:rPr>
            </w:pPr>
            <w:r>
              <w:rPr>
                <w:rFonts w:ascii="Calibri" w:eastAsia="Calibri" w:hAnsi="Calibri" w:cs="Calibri"/>
                <w:color w:val="595959"/>
                <w:sz w:val="16"/>
                <w:szCs w:val="16"/>
              </w:rPr>
              <w:t>2012</w:t>
            </w:r>
          </w:p>
        </w:tc>
        <w:tc>
          <w:tcPr>
            <w:tcW w:w="920" w:type="dxa"/>
            <w:gridSpan w:val="4"/>
            <w:vAlign w:val="bottom"/>
          </w:tcPr>
          <w:p w14:paraId="78AE96D0" w14:textId="77777777" w:rsidR="00EF26BC" w:rsidRDefault="00343DF1">
            <w:pPr>
              <w:ind w:right="189"/>
              <w:jc w:val="right"/>
              <w:rPr>
                <w:sz w:val="20"/>
                <w:szCs w:val="20"/>
              </w:rPr>
            </w:pPr>
            <w:r>
              <w:rPr>
                <w:rFonts w:ascii="Calibri" w:eastAsia="Calibri" w:hAnsi="Calibri" w:cs="Calibri"/>
                <w:color w:val="595959"/>
                <w:sz w:val="16"/>
                <w:szCs w:val="16"/>
              </w:rPr>
              <w:t>2013</w:t>
            </w:r>
          </w:p>
        </w:tc>
        <w:tc>
          <w:tcPr>
            <w:tcW w:w="60" w:type="dxa"/>
            <w:vAlign w:val="bottom"/>
          </w:tcPr>
          <w:p w14:paraId="78AE96D1" w14:textId="77777777" w:rsidR="00EF26BC" w:rsidRDefault="00EF26BC">
            <w:pPr>
              <w:rPr>
                <w:sz w:val="24"/>
                <w:szCs w:val="24"/>
              </w:rPr>
            </w:pPr>
          </w:p>
        </w:tc>
        <w:tc>
          <w:tcPr>
            <w:tcW w:w="840" w:type="dxa"/>
            <w:gridSpan w:val="3"/>
            <w:vAlign w:val="bottom"/>
          </w:tcPr>
          <w:p w14:paraId="78AE96D2" w14:textId="77777777" w:rsidR="00EF26BC" w:rsidRDefault="00343DF1">
            <w:pPr>
              <w:ind w:right="189"/>
              <w:jc w:val="right"/>
              <w:rPr>
                <w:sz w:val="20"/>
                <w:szCs w:val="20"/>
              </w:rPr>
            </w:pPr>
            <w:r>
              <w:rPr>
                <w:rFonts w:ascii="Calibri" w:eastAsia="Calibri" w:hAnsi="Calibri" w:cs="Calibri"/>
                <w:color w:val="595959"/>
                <w:sz w:val="16"/>
                <w:szCs w:val="16"/>
              </w:rPr>
              <w:t>2014</w:t>
            </w:r>
          </w:p>
        </w:tc>
        <w:tc>
          <w:tcPr>
            <w:tcW w:w="80" w:type="dxa"/>
            <w:vAlign w:val="bottom"/>
          </w:tcPr>
          <w:p w14:paraId="78AE96D3" w14:textId="77777777" w:rsidR="00EF26BC" w:rsidRDefault="00EF26BC">
            <w:pPr>
              <w:rPr>
                <w:sz w:val="24"/>
                <w:szCs w:val="24"/>
              </w:rPr>
            </w:pPr>
          </w:p>
        </w:tc>
        <w:tc>
          <w:tcPr>
            <w:tcW w:w="820" w:type="dxa"/>
            <w:gridSpan w:val="3"/>
            <w:vAlign w:val="bottom"/>
          </w:tcPr>
          <w:p w14:paraId="78AE96D4" w14:textId="77777777" w:rsidR="00EF26BC" w:rsidRDefault="00343DF1">
            <w:pPr>
              <w:ind w:right="169"/>
              <w:jc w:val="right"/>
              <w:rPr>
                <w:sz w:val="20"/>
                <w:szCs w:val="20"/>
              </w:rPr>
            </w:pPr>
            <w:r>
              <w:rPr>
                <w:rFonts w:ascii="Calibri" w:eastAsia="Calibri" w:hAnsi="Calibri" w:cs="Calibri"/>
                <w:color w:val="595959"/>
                <w:sz w:val="16"/>
                <w:szCs w:val="16"/>
              </w:rPr>
              <w:t>2015</w:t>
            </w:r>
          </w:p>
        </w:tc>
        <w:tc>
          <w:tcPr>
            <w:tcW w:w="900" w:type="dxa"/>
            <w:gridSpan w:val="3"/>
            <w:vAlign w:val="bottom"/>
          </w:tcPr>
          <w:p w14:paraId="78AE96D5" w14:textId="77777777" w:rsidR="00EF26BC" w:rsidRDefault="00343DF1">
            <w:pPr>
              <w:ind w:right="169"/>
              <w:jc w:val="right"/>
              <w:rPr>
                <w:sz w:val="20"/>
                <w:szCs w:val="20"/>
              </w:rPr>
            </w:pPr>
            <w:r>
              <w:rPr>
                <w:rFonts w:ascii="Calibri" w:eastAsia="Calibri" w:hAnsi="Calibri" w:cs="Calibri"/>
                <w:color w:val="595959"/>
                <w:sz w:val="16"/>
                <w:szCs w:val="16"/>
              </w:rPr>
              <w:t>2016</w:t>
            </w:r>
          </w:p>
        </w:tc>
        <w:tc>
          <w:tcPr>
            <w:tcW w:w="900" w:type="dxa"/>
            <w:gridSpan w:val="2"/>
            <w:vAlign w:val="bottom"/>
          </w:tcPr>
          <w:p w14:paraId="78AE96D6" w14:textId="77777777" w:rsidR="00EF26BC" w:rsidRDefault="00343DF1">
            <w:pPr>
              <w:ind w:right="189"/>
              <w:jc w:val="right"/>
              <w:rPr>
                <w:sz w:val="20"/>
                <w:szCs w:val="20"/>
              </w:rPr>
            </w:pPr>
            <w:r>
              <w:rPr>
                <w:rFonts w:ascii="Calibri" w:eastAsia="Calibri" w:hAnsi="Calibri" w:cs="Calibri"/>
                <w:color w:val="595959"/>
                <w:sz w:val="16"/>
                <w:szCs w:val="16"/>
              </w:rPr>
              <w:t>2017</w:t>
            </w:r>
          </w:p>
        </w:tc>
        <w:tc>
          <w:tcPr>
            <w:tcW w:w="740" w:type="dxa"/>
            <w:gridSpan w:val="2"/>
            <w:vAlign w:val="bottom"/>
          </w:tcPr>
          <w:p w14:paraId="78AE96D7" w14:textId="77777777" w:rsidR="00EF26BC" w:rsidRDefault="00343DF1">
            <w:pPr>
              <w:ind w:right="29"/>
              <w:jc w:val="right"/>
              <w:rPr>
                <w:sz w:val="20"/>
                <w:szCs w:val="20"/>
              </w:rPr>
            </w:pPr>
            <w:r>
              <w:rPr>
                <w:rFonts w:ascii="Calibri" w:eastAsia="Calibri" w:hAnsi="Calibri" w:cs="Calibri"/>
                <w:color w:val="595959"/>
                <w:sz w:val="16"/>
                <w:szCs w:val="16"/>
              </w:rPr>
              <w:t>2018</w:t>
            </w:r>
          </w:p>
        </w:tc>
        <w:tc>
          <w:tcPr>
            <w:tcW w:w="0" w:type="dxa"/>
            <w:vAlign w:val="bottom"/>
          </w:tcPr>
          <w:p w14:paraId="78AE96D8" w14:textId="77777777" w:rsidR="00EF26BC" w:rsidRDefault="00EF26BC">
            <w:pPr>
              <w:rPr>
                <w:sz w:val="1"/>
                <w:szCs w:val="1"/>
              </w:rPr>
            </w:pPr>
          </w:p>
        </w:tc>
      </w:tr>
    </w:tbl>
    <w:p w14:paraId="78AE96DA" w14:textId="77777777" w:rsidR="00EF26BC" w:rsidRDefault="00EF26BC">
      <w:pPr>
        <w:spacing w:line="227" w:lineRule="exact"/>
        <w:rPr>
          <w:sz w:val="20"/>
          <w:szCs w:val="20"/>
        </w:rPr>
      </w:pPr>
    </w:p>
    <w:p w14:paraId="78AE96DB" w14:textId="77777777" w:rsidR="00EF26BC" w:rsidRDefault="00343DF1">
      <w:pPr>
        <w:ind w:left="820"/>
        <w:rPr>
          <w:sz w:val="20"/>
          <w:szCs w:val="20"/>
        </w:rPr>
      </w:pPr>
      <w:r>
        <w:rPr>
          <w:rFonts w:eastAsia="Times New Roman"/>
        </w:rPr>
        <w:t xml:space="preserve">Fuente: Elaboración propia con datos de la Unidad de </w:t>
      </w:r>
      <w:r>
        <w:rPr>
          <w:rFonts w:eastAsia="Times New Roman"/>
        </w:rPr>
        <w:t>Investigación, INAMU.</w:t>
      </w:r>
    </w:p>
    <w:p w14:paraId="78AE96DC" w14:textId="77777777" w:rsidR="00EF26BC" w:rsidRDefault="00EF26BC">
      <w:pPr>
        <w:spacing w:line="200" w:lineRule="exact"/>
        <w:rPr>
          <w:sz w:val="20"/>
          <w:szCs w:val="20"/>
        </w:rPr>
      </w:pPr>
    </w:p>
    <w:p w14:paraId="78AE96DD" w14:textId="77777777" w:rsidR="00EF26BC" w:rsidRDefault="00EF26BC">
      <w:pPr>
        <w:spacing w:line="200" w:lineRule="exact"/>
        <w:rPr>
          <w:sz w:val="20"/>
          <w:szCs w:val="20"/>
        </w:rPr>
      </w:pPr>
    </w:p>
    <w:p w14:paraId="78AE96DE" w14:textId="77777777" w:rsidR="00EF26BC" w:rsidRDefault="00EF26BC">
      <w:pPr>
        <w:spacing w:line="274" w:lineRule="exact"/>
        <w:rPr>
          <w:sz w:val="20"/>
          <w:szCs w:val="20"/>
        </w:rPr>
      </w:pPr>
    </w:p>
    <w:p w14:paraId="78AE96DF" w14:textId="77777777" w:rsidR="00EF26BC" w:rsidRDefault="00343DF1">
      <w:pPr>
        <w:spacing w:line="256" w:lineRule="auto"/>
        <w:ind w:left="820" w:right="1680"/>
        <w:jc w:val="both"/>
        <w:rPr>
          <w:sz w:val="20"/>
          <w:szCs w:val="20"/>
        </w:rPr>
      </w:pPr>
      <w:r>
        <w:rPr>
          <w:rFonts w:eastAsia="Times New Roman"/>
          <w:sz w:val="23"/>
          <w:szCs w:val="23"/>
        </w:rPr>
        <w:t>Por otra parte, las cifras demuestran claramente que son las mujeres las principales víctimas de la violencia doméstica y que no es un problema compartido por igual por ambos sexos. Según datos del Observatorio de Violencia de Géne</w:t>
      </w:r>
      <w:r>
        <w:rPr>
          <w:rFonts w:eastAsia="Times New Roman"/>
          <w:sz w:val="23"/>
          <w:szCs w:val="23"/>
        </w:rPr>
        <w:t>ro contra las Mujeres y Acceso a la Justicia del Poder Judicial, solo en el año 2018 el 80% de las víctimas atendidas por violencia doméstica son mujeres y el porcentaje de hombres es de alrededor del 20%, que si se analiza por rango de edad (18 a 45 años)</w:t>
      </w:r>
      <w:r>
        <w:rPr>
          <w:rFonts w:eastAsia="Times New Roman"/>
          <w:sz w:val="23"/>
          <w:szCs w:val="23"/>
        </w:rPr>
        <w:t xml:space="preserve"> y relación víctima-victimario, queda claramente evidenciado que los hombres adultos en muy baja proporción son atendidos por este tipo de delito. Cabe señalar que la mayor cantidad de victimarios en este tipo de infracción siguen siendo los hombres (Ver </w:t>
      </w:r>
      <w:r>
        <w:rPr>
          <w:rFonts w:eastAsia="Times New Roman"/>
          <w:b/>
          <w:bCs/>
          <w:sz w:val="23"/>
          <w:szCs w:val="23"/>
        </w:rPr>
        <w:t>g</w:t>
      </w:r>
      <w:r>
        <w:rPr>
          <w:rFonts w:eastAsia="Times New Roman"/>
          <w:b/>
          <w:bCs/>
          <w:sz w:val="23"/>
          <w:szCs w:val="23"/>
        </w:rPr>
        <w:t>ráfico N°3</w:t>
      </w:r>
      <w:r>
        <w:rPr>
          <w:rFonts w:eastAsia="Times New Roman"/>
          <w:sz w:val="23"/>
          <w:szCs w:val="23"/>
        </w:rPr>
        <w:t>).</w:t>
      </w:r>
    </w:p>
    <w:p w14:paraId="78AE96E0" w14:textId="77777777" w:rsidR="00EF26BC" w:rsidRDefault="00EF26BC">
      <w:pPr>
        <w:spacing w:line="200" w:lineRule="exact"/>
        <w:rPr>
          <w:sz w:val="20"/>
          <w:szCs w:val="20"/>
        </w:rPr>
      </w:pPr>
    </w:p>
    <w:p w14:paraId="78AE96E1" w14:textId="77777777" w:rsidR="00EF26BC" w:rsidRDefault="00EF26BC">
      <w:pPr>
        <w:spacing w:line="200" w:lineRule="exact"/>
        <w:rPr>
          <w:sz w:val="20"/>
          <w:szCs w:val="20"/>
        </w:rPr>
      </w:pPr>
    </w:p>
    <w:p w14:paraId="78AE96E2" w14:textId="77777777" w:rsidR="00EF26BC" w:rsidRDefault="00EF26BC">
      <w:pPr>
        <w:spacing w:line="200" w:lineRule="exact"/>
        <w:rPr>
          <w:sz w:val="20"/>
          <w:szCs w:val="20"/>
        </w:rPr>
      </w:pPr>
    </w:p>
    <w:p w14:paraId="78AE96E3" w14:textId="77777777" w:rsidR="00EF26BC" w:rsidRDefault="00EF26BC">
      <w:pPr>
        <w:spacing w:line="200" w:lineRule="exact"/>
        <w:rPr>
          <w:sz w:val="20"/>
          <w:szCs w:val="20"/>
        </w:rPr>
      </w:pPr>
    </w:p>
    <w:p w14:paraId="78AE96E4" w14:textId="77777777" w:rsidR="00EF26BC" w:rsidRDefault="00EF26BC">
      <w:pPr>
        <w:spacing w:line="200" w:lineRule="exact"/>
        <w:rPr>
          <w:sz w:val="20"/>
          <w:szCs w:val="20"/>
        </w:rPr>
      </w:pPr>
    </w:p>
    <w:p w14:paraId="78AE96E5" w14:textId="77777777" w:rsidR="00EF26BC" w:rsidRDefault="00EF26BC">
      <w:pPr>
        <w:spacing w:line="200" w:lineRule="exact"/>
        <w:rPr>
          <w:sz w:val="20"/>
          <w:szCs w:val="20"/>
        </w:rPr>
      </w:pPr>
    </w:p>
    <w:p w14:paraId="78AE96E6" w14:textId="77777777" w:rsidR="00EF26BC" w:rsidRDefault="00EF26BC">
      <w:pPr>
        <w:spacing w:line="200" w:lineRule="exact"/>
        <w:rPr>
          <w:sz w:val="20"/>
          <w:szCs w:val="20"/>
        </w:rPr>
      </w:pPr>
    </w:p>
    <w:p w14:paraId="78AE96E7" w14:textId="77777777" w:rsidR="00EF26BC" w:rsidRDefault="00EF26BC">
      <w:pPr>
        <w:spacing w:line="200" w:lineRule="exact"/>
        <w:rPr>
          <w:sz w:val="20"/>
          <w:szCs w:val="20"/>
        </w:rPr>
      </w:pPr>
    </w:p>
    <w:p w14:paraId="78AE96E8" w14:textId="77777777" w:rsidR="00EF26BC" w:rsidRDefault="00EF26BC">
      <w:pPr>
        <w:spacing w:line="200" w:lineRule="exact"/>
        <w:rPr>
          <w:sz w:val="20"/>
          <w:szCs w:val="20"/>
        </w:rPr>
      </w:pPr>
    </w:p>
    <w:p w14:paraId="78AE96E9" w14:textId="77777777" w:rsidR="00EF26BC" w:rsidRDefault="00EF26BC">
      <w:pPr>
        <w:spacing w:line="200" w:lineRule="exact"/>
        <w:rPr>
          <w:sz w:val="20"/>
          <w:szCs w:val="20"/>
        </w:rPr>
      </w:pPr>
    </w:p>
    <w:p w14:paraId="78AE96EA" w14:textId="77777777" w:rsidR="00EF26BC" w:rsidRDefault="00EF26BC">
      <w:pPr>
        <w:spacing w:line="200" w:lineRule="exact"/>
        <w:rPr>
          <w:sz w:val="20"/>
          <w:szCs w:val="20"/>
        </w:rPr>
      </w:pPr>
    </w:p>
    <w:p w14:paraId="78AE96EB" w14:textId="77777777" w:rsidR="00EF26BC" w:rsidRDefault="00EF26BC">
      <w:pPr>
        <w:spacing w:line="200" w:lineRule="exact"/>
        <w:rPr>
          <w:sz w:val="20"/>
          <w:szCs w:val="20"/>
        </w:rPr>
      </w:pPr>
    </w:p>
    <w:p w14:paraId="78AE96EC" w14:textId="77777777" w:rsidR="00EF26BC" w:rsidRDefault="00EF26BC">
      <w:pPr>
        <w:spacing w:line="200" w:lineRule="exact"/>
        <w:rPr>
          <w:sz w:val="20"/>
          <w:szCs w:val="20"/>
        </w:rPr>
      </w:pPr>
    </w:p>
    <w:p w14:paraId="78AE96ED" w14:textId="77777777" w:rsidR="00EF26BC" w:rsidRDefault="00EF26BC">
      <w:pPr>
        <w:spacing w:line="200" w:lineRule="exact"/>
        <w:rPr>
          <w:sz w:val="20"/>
          <w:szCs w:val="20"/>
        </w:rPr>
      </w:pPr>
    </w:p>
    <w:p w14:paraId="78AE96EE" w14:textId="77777777" w:rsidR="00EF26BC" w:rsidRDefault="00EF26BC">
      <w:pPr>
        <w:spacing w:line="200" w:lineRule="exact"/>
        <w:rPr>
          <w:sz w:val="20"/>
          <w:szCs w:val="20"/>
        </w:rPr>
      </w:pPr>
    </w:p>
    <w:p w14:paraId="78AE96EF" w14:textId="77777777" w:rsidR="00EF26BC" w:rsidRDefault="00EF26BC">
      <w:pPr>
        <w:spacing w:line="239"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460"/>
        <w:gridCol w:w="20"/>
      </w:tblGrid>
      <w:tr w:rsidR="00EF26BC" w14:paraId="78AE96F3" w14:textId="77777777">
        <w:trPr>
          <w:trHeight w:val="240"/>
        </w:trPr>
        <w:tc>
          <w:tcPr>
            <w:tcW w:w="6920" w:type="dxa"/>
            <w:vAlign w:val="bottom"/>
          </w:tcPr>
          <w:p w14:paraId="78AE96F0"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460" w:type="dxa"/>
            <w:vMerge w:val="restart"/>
            <w:vAlign w:val="bottom"/>
          </w:tcPr>
          <w:p w14:paraId="78AE96F1" w14:textId="77777777" w:rsidR="00EF26BC" w:rsidRDefault="00343DF1">
            <w:pPr>
              <w:jc w:val="right"/>
              <w:rPr>
                <w:sz w:val="20"/>
                <w:szCs w:val="20"/>
              </w:rPr>
            </w:pPr>
            <w:r>
              <w:rPr>
                <w:rFonts w:ascii="Arial" w:eastAsia="Arial" w:hAnsi="Arial" w:cs="Arial"/>
              </w:rPr>
              <w:t>99</w:t>
            </w:r>
          </w:p>
        </w:tc>
        <w:tc>
          <w:tcPr>
            <w:tcW w:w="0" w:type="dxa"/>
            <w:vAlign w:val="bottom"/>
          </w:tcPr>
          <w:p w14:paraId="78AE96F2" w14:textId="77777777" w:rsidR="00EF26BC" w:rsidRDefault="00EF26BC">
            <w:pPr>
              <w:rPr>
                <w:sz w:val="1"/>
                <w:szCs w:val="1"/>
              </w:rPr>
            </w:pPr>
          </w:p>
        </w:tc>
      </w:tr>
      <w:tr w:rsidR="00EF26BC" w14:paraId="78AE96F7" w14:textId="77777777">
        <w:trPr>
          <w:trHeight w:val="260"/>
        </w:trPr>
        <w:tc>
          <w:tcPr>
            <w:tcW w:w="6920" w:type="dxa"/>
            <w:vAlign w:val="bottom"/>
          </w:tcPr>
          <w:p w14:paraId="78AE96F4"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460" w:type="dxa"/>
            <w:vMerge/>
            <w:vAlign w:val="bottom"/>
          </w:tcPr>
          <w:p w14:paraId="78AE96F5" w14:textId="77777777" w:rsidR="00EF26BC" w:rsidRDefault="00EF26BC"/>
        </w:tc>
        <w:tc>
          <w:tcPr>
            <w:tcW w:w="0" w:type="dxa"/>
            <w:vAlign w:val="bottom"/>
          </w:tcPr>
          <w:p w14:paraId="78AE96F6" w14:textId="77777777" w:rsidR="00EF26BC" w:rsidRDefault="00EF26BC">
            <w:pPr>
              <w:rPr>
                <w:sz w:val="1"/>
                <w:szCs w:val="1"/>
              </w:rPr>
            </w:pPr>
          </w:p>
        </w:tc>
      </w:tr>
    </w:tbl>
    <w:p w14:paraId="78AE96F8" w14:textId="77777777" w:rsidR="00EF26BC" w:rsidRDefault="00EF26BC">
      <w:pPr>
        <w:sectPr w:rsidR="00EF26BC">
          <w:pgSz w:w="12240" w:h="15840"/>
          <w:pgMar w:top="714" w:right="600" w:bottom="121" w:left="1440" w:header="0" w:footer="0" w:gutter="0"/>
          <w:cols w:space="720" w:equalWidth="0">
            <w:col w:w="10200"/>
          </w:cols>
        </w:sectPr>
      </w:pPr>
    </w:p>
    <w:p w14:paraId="78AE96F9" w14:textId="77777777" w:rsidR="00EF26BC" w:rsidRDefault="00343DF1">
      <w:pPr>
        <w:ind w:left="3700"/>
        <w:rPr>
          <w:sz w:val="20"/>
          <w:szCs w:val="20"/>
        </w:rPr>
      </w:pPr>
      <w:bookmarkStart w:id="11" w:name="page12"/>
      <w:bookmarkEnd w:id="11"/>
      <w:r>
        <w:rPr>
          <w:rFonts w:ascii="Arial" w:eastAsia="Arial" w:hAnsi="Arial" w:cs="Arial"/>
          <w:sz w:val="20"/>
          <w:szCs w:val="20"/>
        </w:rPr>
        <w:lastRenderedPageBreak/>
        <w:t>Marcela Piedra Durán</w:t>
      </w:r>
    </w:p>
    <w:p w14:paraId="78AE96FA" w14:textId="77777777" w:rsidR="00EF26BC" w:rsidRDefault="00EF26BC">
      <w:pPr>
        <w:spacing w:line="200" w:lineRule="exact"/>
        <w:rPr>
          <w:sz w:val="20"/>
          <w:szCs w:val="20"/>
        </w:rPr>
      </w:pPr>
    </w:p>
    <w:p w14:paraId="78AE96FB" w14:textId="77777777" w:rsidR="00EF26BC" w:rsidRDefault="00EF26BC">
      <w:pPr>
        <w:spacing w:line="331" w:lineRule="exact"/>
        <w:rPr>
          <w:sz w:val="20"/>
          <w:szCs w:val="20"/>
        </w:rPr>
      </w:pPr>
    </w:p>
    <w:p w14:paraId="78AE96FC" w14:textId="77777777" w:rsidR="00EF26BC" w:rsidRDefault="00343DF1">
      <w:pPr>
        <w:ind w:right="1000"/>
        <w:jc w:val="center"/>
        <w:rPr>
          <w:sz w:val="20"/>
          <w:szCs w:val="20"/>
        </w:rPr>
      </w:pPr>
      <w:r>
        <w:rPr>
          <w:rFonts w:eastAsia="Times New Roman"/>
          <w:b/>
          <w:bCs/>
        </w:rPr>
        <w:t>Gráfico Nº 3.</w:t>
      </w:r>
    </w:p>
    <w:p w14:paraId="78AE96FD" w14:textId="77777777" w:rsidR="00EF26BC" w:rsidRDefault="00EF26BC">
      <w:pPr>
        <w:spacing w:line="34" w:lineRule="exact"/>
        <w:rPr>
          <w:sz w:val="20"/>
          <w:szCs w:val="20"/>
        </w:rPr>
      </w:pPr>
    </w:p>
    <w:p w14:paraId="78AE96FE" w14:textId="77777777" w:rsidR="00EF26BC" w:rsidRDefault="00343DF1">
      <w:pPr>
        <w:ind w:right="980"/>
        <w:jc w:val="center"/>
        <w:rPr>
          <w:sz w:val="20"/>
          <w:szCs w:val="20"/>
        </w:rPr>
      </w:pPr>
      <w:r>
        <w:rPr>
          <w:rFonts w:eastAsia="Times New Roman"/>
          <w:b/>
          <w:bCs/>
        </w:rPr>
        <w:t xml:space="preserve">Distribución presuntas víctimas y </w:t>
      </w:r>
      <w:r>
        <w:rPr>
          <w:rFonts w:eastAsia="Times New Roman"/>
          <w:b/>
          <w:bCs/>
        </w:rPr>
        <w:t>presuntos agresores /as por violencia doméstica</w:t>
      </w:r>
    </w:p>
    <w:p w14:paraId="78AE96FF" w14:textId="77777777" w:rsidR="00EF26BC" w:rsidRDefault="00343DF1">
      <w:pPr>
        <w:ind w:right="980"/>
        <w:jc w:val="center"/>
        <w:rPr>
          <w:sz w:val="20"/>
          <w:szCs w:val="20"/>
        </w:rPr>
      </w:pPr>
      <w:r>
        <w:rPr>
          <w:rFonts w:eastAsia="Times New Roman"/>
          <w:b/>
          <w:bCs/>
        </w:rPr>
        <w:t>por sexo durante el 2018</w:t>
      </w:r>
    </w:p>
    <w:p w14:paraId="78AE9700" w14:textId="77777777" w:rsidR="00EF26BC" w:rsidRDefault="00343DF1">
      <w:pPr>
        <w:spacing w:line="20" w:lineRule="exact"/>
        <w:rPr>
          <w:sz w:val="20"/>
          <w:szCs w:val="20"/>
        </w:rPr>
      </w:pPr>
      <w:r>
        <w:rPr>
          <w:noProof/>
          <w:sz w:val="20"/>
          <w:szCs w:val="20"/>
        </w:rPr>
        <w:drawing>
          <wp:anchor distT="0" distB="0" distL="114300" distR="114300" simplePos="0" relativeHeight="251656192" behindDoc="1" locked="0" layoutInCell="0" allowOverlap="1" wp14:anchorId="78AE9C3B" wp14:editId="78AE9C3C">
            <wp:simplePos x="0" y="0"/>
            <wp:positionH relativeFrom="column">
              <wp:posOffset>676275</wp:posOffset>
            </wp:positionH>
            <wp:positionV relativeFrom="paragraph">
              <wp:posOffset>59055</wp:posOffset>
            </wp:positionV>
            <wp:extent cx="4584700" cy="2755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584700" cy="2755900"/>
                    </a:xfrm>
                    <a:prstGeom prst="rect">
                      <a:avLst/>
                    </a:prstGeom>
                    <a:noFill/>
                  </pic:spPr>
                </pic:pic>
              </a:graphicData>
            </a:graphic>
          </wp:anchor>
        </w:drawing>
      </w:r>
    </w:p>
    <w:p w14:paraId="78AE9701" w14:textId="77777777" w:rsidR="00EF26BC" w:rsidRDefault="00EF26BC">
      <w:pPr>
        <w:spacing w:line="200" w:lineRule="exact"/>
        <w:rPr>
          <w:sz w:val="20"/>
          <w:szCs w:val="20"/>
        </w:rPr>
      </w:pPr>
    </w:p>
    <w:p w14:paraId="78AE9702" w14:textId="77777777" w:rsidR="00EF26BC" w:rsidRDefault="00EF26BC">
      <w:pPr>
        <w:spacing w:line="200" w:lineRule="exact"/>
        <w:rPr>
          <w:sz w:val="20"/>
          <w:szCs w:val="20"/>
        </w:rPr>
      </w:pPr>
    </w:p>
    <w:p w14:paraId="78AE9703" w14:textId="77777777" w:rsidR="00EF26BC" w:rsidRDefault="00EF26BC">
      <w:pPr>
        <w:spacing w:line="200" w:lineRule="exact"/>
        <w:rPr>
          <w:sz w:val="20"/>
          <w:szCs w:val="20"/>
        </w:rPr>
      </w:pPr>
    </w:p>
    <w:p w14:paraId="78AE9704" w14:textId="77777777" w:rsidR="00EF26BC" w:rsidRDefault="00EF26BC">
      <w:pPr>
        <w:spacing w:line="200" w:lineRule="exact"/>
        <w:rPr>
          <w:sz w:val="20"/>
          <w:szCs w:val="20"/>
        </w:rPr>
      </w:pPr>
    </w:p>
    <w:p w14:paraId="78AE9705" w14:textId="77777777" w:rsidR="00EF26BC" w:rsidRDefault="00EF26BC">
      <w:pPr>
        <w:spacing w:line="200" w:lineRule="exact"/>
        <w:rPr>
          <w:sz w:val="20"/>
          <w:szCs w:val="20"/>
        </w:rPr>
      </w:pPr>
    </w:p>
    <w:p w14:paraId="78AE9706" w14:textId="77777777" w:rsidR="00EF26BC" w:rsidRDefault="00EF26BC">
      <w:pPr>
        <w:spacing w:line="200" w:lineRule="exact"/>
        <w:rPr>
          <w:sz w:val="20"/>
          <w:szCs w:val="20"/>
        </w:rPr>
      </w:pPr>
    </w:p>
    <w:p w14:paraId="78AE9707" w14:textId="77777777" w:rsidR="00EF26BC" w:rsidRDefault="00EF26BC">
      <w:pPr>
        <w:spacing w:line="200" w:lineRule="exact"/>
        <w:rPr>
          <w:sz w:val="20"/>
          <w:szCs w:val="20"/>
        </w:rPr>
      </w:pPr>
    </w:p>
    <w:p w14:paraId="78AE9708" w14:textId="77777777" w:rsidR="00EF26BC" w:rsidRDefault="00EF26BC">
      <w:pPr>
        <w:spacing w:line="200" w:lineRule="exact"/>
        <w:rPr>
          <w:sz w:val="20"/>
          <w:szCs w:val="20"/>
        </w:rPr>
      </w:pPr>
    </w:p>
    <w:p w14:paraId="78AE9709" w14:textId="77777777" w:rsidR="00EF26BC" w:rsidRDefault="00EF26BC">
      <w:pPr>
        <w:spacing w:line="200" w:lineRule="exact"/>
        <w:rPr>
          <w:sz w:val="20"/>
          <w:szCs w:val="20"/>
        </w:rPr>
      </w:pPr>
    </w:p>
    <w:p w14:paraId="78AE970A" w14:textId="77777777" w:rsidR="00EF26BC" w:rsidRDefault="00EF26BC">
      <w:pPr>
        <w:spacing w:line="200" w:lineRule="exact"/>
        <w:rPr>
          <w:sz w:val="20"/>
          <w:szCs w:val="20"/>
        </w:rPr>
      </w:pPr>
    </w:p>
    <w:p w14:paraId="78AE970B" w14:textId="77777777" w:rsidR="00EF26BC" w:rsidRDefault="00EF26BC">
      <w:pPr>
        <w:spacing w:line="200" w:lineRule="exact"/>
        <w:rPr>
          <w:sz w:val="20"/>
          <w:szCs w:val="20"/>
        </w:rPr>
      </w:pPr>
    </w:p>
    <w:p w14:paraId="78AE970C" w14:textId="77777777" w:rsidR="00EF26BC" w:rsidRDefault="00EF26BC">
      <w:pPr>
        <w:spacing w:line="200" w:lineRule="exact"/>
        <w:rPr>
          <w:sz w:val="20"/>
          <w:szCs w:val="20"/>
        </w:rPr>
      </w:pPr>
    </w:p>
    <w:p w14:paraId="78AE970D" w14:textId="77777777" w:rsidR="00EF26BC" w:rsidRDefault="00EF26BC">
      <w:pPr>
        <w:spacing w:line="200" w:lineRule="exact"/>
        <w:rPr>
          <w:sz w:val="20"/>
          <w:szCs w:val="20"/>
        </w:rPr>
      </w:pPr>
    </w:p>
    <w:p w14:paraId="78AE970E" w14:textId="77777777" w:rsidR="00EF26BC" w:rsidRDefault="00EF26BC">
      <w:pPr>
        <w:spacing w:line="200" w:lineRule="exact"/>
        <w:rPr>
          <w:sz w:val="20"/>
          <w:szCs w:val="20"/>
        </w:rPr>
      </w:pPr>
    </w:p>
    <w:p w14:paraId="78AE970F" w14:textId="77777777" w:rsidR="00EF26BC" w:rsidRDefault="00EF26BC">
      <w:pPr>
        <w:spacing w:line="200" w:lineRule="exact"/>
        <w:rPr>
          <w:sz w:val="20"/>
          <w:szCs w:val="20"/>
        </w:rPr>
      </w:pPr>
    </w:p>
    <w:p w14:paraId="78AE9710" w14:textId="77777777" w:rsidR="00EF26BC" w:rsidRDefault="00EF26BC">
      <w:pPr>
        <w:spacing w:line="200" w:lineRule="exact"/>
        <w:rPr>
          <w:sz w:val="20"/>
          <w:szCs w:val="20"/>
        </w:rPr>
      </w:pPr>
    </w:p>
    <w:p w14:paraId="78AE9711" w14:textId="77777777" w:rsidR="00EF26BC" w:rsidRDefault="00EF26BC">
      <w:pPr>
        <w:spacing w:line="200" w:lineRule="exact"/>
        <w:rPr>
          <w:sz w:val="20"/>
          <w:szCs w:val="20"/>
        </w:rPr>
      </w:pPr>
    </w:p>
    <w:p w14:paraId="78AE9712" w14:textId="77777777" w:rsidR="00EF26BC" w:rsidRDefault="00EF26BC">
      <w:pPr>
        <w:spacing w:line="200" w:lineRule="exact"/>
        <w:rPr>
          <w:sz w:val="20"/>
          <w:szCs w:val="20"/>
        </w:rPr>
      </w:pPr>
    </w:p>
    <w:p w14:paraId="78AE9713" w14:textId="77777777" w:rsidR="00EF26BC" w:rsidRDefault="00EF26BC">
      <w:pPr>
        <w:spacing w:line="200" w:lineRule="exact"/>
        <w:rPr>
          <w:sz w:val="20"/>
          <w:szCs w:val="20"/>
        </w:rPr>
      </w:pPr>
    </w:p>
    <w:p w14:paraId="78AE9714" w14:textId="77777777" w:rsidR="00EF26BC" w:rsidRDefault="00EF26BC">
      <w:pPr>
        <w:spacing w:line="200" w:lineRule="exact"/>
        <w:rPr>
          <w:sz w:val="20"/>
          <w:szCs w:val="20"/>
        </w:rPr>
      </w:pPr>
    </w:p>
    <w:p w14:paraId="78AE9715" w14:textId="77777777" w:rsidR="00EF26BC" w:rsidRDefault="00EF26BC">
      <w:pPr>
        <w:spacing w:line="200" w:lineRule="exact"/>
        <w:rPr>
          <w:sz w:val="20"/>
          <w:szCs w:val="20"/>
        </w:rPr>
      </w:pPr>
    </w:p>
    <w:p w14:paraId="78AE9716" w14:textId="77777777" w:rsidR="00EF26BC" w:rsidRDefault="00EF26BC">
      <w:pPr>
        <w:spacing w:line="300" w:lineRule="exact"/>
        <w:rPr>
          <w:sz w:val="20"/>
          <w:szCs w:val="20"/>
        </w:rPr>
      </w:pPr>
    </w:p>
    <w:p w14:paraId="78AE9717" w14:textId="77777777" w:rsidR="00EF26BC" w:rsidRDefault="00343DF1">
      <w:pPr>
        <w:spacing w:line="280" w:lineRule="auto"/>
        <w:ind w:left="820" w:right="1960"/>
        <w:rPr>
          <w:sz w:val="20"/>
          <w:szCs w:val="20"/>
        </w:rPr>
      </w:pPr>
      <w:r>
        <w:rPr>
          <w:rFonts w:eastAsia="Times New Roman"/>
        </w:rPr>
        <w:t>Fuente: Elaboración propia con datos del Observatorio de Violencia de Género contra las Mujeres y el Acceso a la Justicia (2020).</w:t>
      </w:r>
    </w:p>
    <w:p w14:paraId="78AE9718" w14:textId="77777777" w:rsidR="00EF26BC" w:rsidRDefault="00EF26BC">
      <w:pPr>
        <w:spacing w:line="389" w:lineRule="exact"/>
        <w:rPr>
          <w:sz w:val="20"/>
          <w:szCs w:val="20"/>
        </w:rPr>
      </w:pPr>
    </w:p>
    <w:p w14:paraId="78AE9719" w14:textId="77777777" w:rsidR="00EF26BC" w:rsidRDefault="00343DF1">
      <w:pPr>
        <w:spacing w:line="250" w:lineRule="auto"/>
        <w:ind w:left="820" w:right="1820"/>
        <w:jc w:val="both"/>
        <w:rPr>
          <w:sz w:val="20"/>
          <w:szCs w:val="20"/>
        </w:rPr>
      </w:pPr>
      <w:r>
        <w:rPr>
          <w:rFonts w:eastAsia="Times New Roman"/>
          <w:sz w:val="24"/>
          <w:szCs w:val="24"/>
        </w:rPr>
        <w:t xml:space="preserve">Adicionalmente, son las mujeres jóvenes en edad reproductiva y las niñas las principales víctimas atendidas (Ver </w:t>
      </w:r>
      <w:r>
        <w:rPr>
          <w:rFonts w:eastAsia="Times New Roman"/>
          <w:b/>
          <w:bCs/>
          <w:sz w:val="24"/>
          <w:szCs w:val="24"/>
        </w:rPr>
        <w:t>gráfico N°4</w:t>
      </w:r>
      <w:r>
        <w:rPr>
          <w:rFonts w:eastAsia="Times New Roman"/>
          <w:sz w:val="24"/>
          <w:szCs w:val="24"/>
        </w:rPr>
        <w:t xml:space="preserve">), lo que coincide con lo planteado por ONU Mujeres (2015) que identifican como causas y factores de riesgo de </w:t>
      </w:r>
      <w:r>
        <w:rPr>
          <w:rFonts w:eastAsia="Times New Roman"/>
          <w:sz w:val="24"/>
          <w:szCs w:val="24"/>
        </w:rPr>
        <w:t>discapacidad y muerte para mujeres entre las edades de 15 y 44 años la violación y violencia doméstica.</w:t>
      </w:r>
    </w:p>
    <w:p w14:paraId="78AE971A" w14:textId="77777777" w:rsidR="00EF26BC" w:rsidRDefault="00EF26BC">
      <w:pPr>
        <w:spacing w:line="42" w:lineRule="exact"/>
        <w:rPr>
          <w:sz w:val="20"/>
          <w:szCs w:val="20"/>
        </w:rPr>
      </w:pPr>
    </w:p>
    <w:p w14:paraId="78AE971B" w14:textId="77777777" w:rsidR="00EF26BC" w:rsidRDefault="00343DF1">
      <w:pPr>
        <w:ind w:right="1000"/>
        <w:jc w:val="center"/>
        <w:rPr>
          <w:sz w:val="20"/>
          <w:szCs w:val="20"/>
        </w:rPr>
      </w:pPr>
      <w:r>
        <w:rPr>
          <w:rFonts w:eastAsia="Times New Roman"/>
          <w:b/>
          <w:bCs/>
        </w:rPr>
        <w:t>Gráfico Nº 4.</w:t>
      </w:r>
    </w:p>
    <w:p w14:paraId="78AE971C" w14:textId="77777777" w:rsidR="00EF26BC" w:rsidRDefault="00EF26BC">
      <w:pPr>
        <w:spacing w:line="33" w:lineRule="exact"/>
        <w:rPr>
          <w:sz w:val="20"/>
          <w:szCs w:val="20"/>
        </w:rPr>
      </w:pPr>
    </w:p>
    <w:p w14:paraId="78AE971D" w14:textId="77777777" w:rsidR="00EF26BC" w:rsidRDefault="00343DF1">
      <w:pPr>
        <w:ind w:right="980"/>
        <w:jc w:val="center"/>
        <w:rPr>
          <w:sz w:val="20"/>
          <w:szCs w:val="20"/>
        </w:rPr>
      </w:pPr>
      <w:r>
        <w:rPr>
          <w:rFonts w:eastAsia="Times New Roman"/>
          <w:b/>
          <w:bCs/>
        </w:rPr>
        <w:t>Distribución por rango de edad de los casos en los que la víctima es una mujer</w:t>
      </w:r>
    </w:p>
    <w:p w14:paraId="78AE971E" w14:textId="77777777" w:rsidR="00EF26BC" w:rsidRDefault="00EF26BC">
      <w:pPr>
        <w:spacing w:line="1" w:lineRule="exact"/>
        <w:rPr>
          <w:sz w:val="20"/>
          <w:szCs w:val="20"/>
        </w:rPr>
      </w:pPr>
    </w:p>
    <w:p w14:paraId="78AE971F" w14:textId="77777777" w:rsidR="00EF26BC" w:rsidRDefault="00343DF1">
      <w:pPr>
        <w:ind w:right="980"/>
        <w:jc w:val="center"/>
        <w:rPr>
          <w:sz w:val="20"/>
          <w:szCs w:val="20"/>
        </w:rPr>
      </w:pPr>
      <w:r>
        <w:rPr>
          <w:rFonts w:eastAsia="Times New Roman"/>
          <w:b/>
          <w:bCs/>
        </w:rPr>
        <w:t>durante el 2018</w:t>
      </w:r>
    </w:p>
    <w:p w14:paraId="78AE9720" w14:textId="77777777" w:rsidR="00EF26BC" w:rsidRDefault="00343DF1">
      <w:pPr>
        <w:spacing w:line="20" w:lineRule="exact"/>
        <w:rPr>
          <w:sz w:val="20"/>
          <w:szCs w:val="20"/>
        </w:rPr>
      </w:pPr>
      <w:r>
        <w:rPr>
          <w:noProof/>
          <w:sz w:val="20"/>
          <w:szCs w:val="20"/>
        </w:rPr>
        <w:drawing>
          <wp:anchor distT="0" distB="0" distL="114300" distR="114300" simplePos="0" relativeHeight="251657216" behindDoc="1" locked="0" layoutInCell="0" allowOverlap="1" wp14:anchorId="78AE9C3D" wp14:editId="78AE9C3E">
            <wp:simplePos x="0" y="0"/>
            <wp:positionH relativeFrom="column">
              <wp:posOffset>520700</wp:posOffset>
            </wp:positionH>
            <wp:positionV relativeFrom="paragraph">
              <wp:posOffset>53975</wp:posOffset>
            </wp:positionV>
            <wp:extent cx="5160010" cy="22840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160010" cy="2284095"/>
                    </a:xfrm>
                    <a:prstGeom prst="rect">
                      <a:avLst/>
                    </a:prstGeom>
                    <a:noFill/>
                  </pic:spPr>
                </pic:pic>
              </a:graphicData>
            </a:graphic>
          </wp:anchor>
        </w:drawing>
      </w:r>
    </w:p>
    <w:p w14:paraId="78AE9721" w14:textId="77777777" w:rsidR="00EF26BC" w:rsidRDefault="00EF26BC">
      <w:pPr>
        <w:spacing w:line="200" w:lineRule="exact"/>
        <w:rPr>
          <w:sz w:val="20"/>
          <w:szCs w:val="20"/>
        </w:rPr>
      </w:pPr>
    </w:p>
    <w:p w14:paraId="78AE9722" w14:textId="77777777" w:rsidR="00EF26BC" w:rsidRDefault="00EF26BC">
      <w:pPr>
        <w:spacing w:line="280" w:lineRule="exact"/>
        <w:rPr>
          <w:sz w:val="20"/>
          <w:szCs w:val="20"/>
        </w:rPr>
      </w:pPr>
    </w:p>
    <w:tbl>
      <w:tblPr>
        <w:tblW w:w="0" w:type="auto"/>
        <w:tblInd w:w="1080" w:type="dxa"/>
        <w:tblLayout w:type="fixed"/>
        <w:tblCellMar>
          <w:left w:w="0" w:type="dxa"/>
          <w:right w:w="0" w:type="dxa"/>
        </w:tblCellMar>
        <w:tblLook w:val="04A0" w:firstRow="1" w:lastRow="0" w:firstColumn="1" w:lastColumn="0" w:noHBand="0" w:noVBand="1"/>
      </w:tblPr>
      <w:tblGrid>
        <w:gridCol w:w="960"/>
        <w:gridCol w:w="920"/>
        <w:gridCol w:w="960"/>
        <w:gridCol w:w="960"/>
        <w:gridCol w:w="960"/>
        <w:gridCol w:w="940"/>
        <w:gridCol w:w="980"/>
        <w:gridCol w:w="940"/>
        <w:gridCol w:w="20"/>
      </w:tblGrid>
      <w:tr w:rsidR="00EF26BC" w14:paraId="78AE972C" w14:textId="77777777">
        <w:trPr>
          <w:trHeight w:val="250"/>
        </w:trPr>
        <w:tc>
          <w:tcPr>
            <w:tcW w:w="960" w:type="dxa"/>
            <w:vAlign w:val="bottom"/>
          </w:tcPr>
          <w:p w14:paraId="78AE9723" w14:textId="77777777" w:rsidR="00EF26BC" w:rsidRDefault="00EF26BC">
            <w:pPr>
              <w:rPr>
                <w:sz w:val="21"/>
                <w:szCs w:val="21"/>
              </w:rPr>
            </w:pPr>
          </w:p>
        </w:tc>
        <w:tc>
          <w:tcPr>
            <w:tcW w:w="920" w:type="dxa"/>
            <w:vAlign w:val="bottom"/>
          </w:tcPr>
          <w:p w14:paraId="78AE9724" w14:textId="77777777" w:rsidR="00EF26BC" w:rsidRDefault="00EF26BC">
            <w:pPr>
              <w:rPr>
                <w:sz w:val="21"/>
                <w:szCs w:val="21"/>
              </w:rPr>
            </w:pPr>
          </w:p>
        </w:tc>
        <w:tc>
          <w:tcPr>
            <w:tcW w:w="960" w:type="dxa"/>
            <w:vAlign w:val="bottom"/>
          </w:tcPr>
          <w:p w14:paraId="78AE9725" w14:textId="77777777" w:rsidR="00EF26BC" w:rsidRDefault="00343DF1">
            <w:pPr>
              <w:jc w:val="center"/>
              <w:rPr>
                <w:sz w:val="20"/>
                <w:szCs w:val="20"/>
              </w:rPr>
            </w:pPr>
            <w:r>
              <w:rPr>
                <w:rFonts w:ascii="Calibri" w:eastAsia="Calibri" w:hAnsi="Calibri" w:cs="Calibri"/>
                <w:b/>
                <w:bCs/>
                <w:color w:val="ED7D31"/>
                <w:w w:val="99"/>
                <w:sz w:val="18"/>
                <w:szCs w:val="18"/>
              </w:rPr>
              <w:t>1</w:t>
            </w:r>
            <w:r>
              <w:rPr>
                <w:rFonts w:ascii="Calibri" w:eastAsia="Calibri" w:hAnsi="Calibri" w:cs="Calibri"/>
                <w:b/>
                <w:bCs/>
                <w:color w:val="ED7D31"/>
                <w:w w:val="99"/>
                <w:sz w:val="18"/>
                <w:szCs w:val="18"/>
                <w:highlight w:val="white"/>
              </w:rPr>
              <w:t>3.98</w:t>
            </w:r>
            <w:r>
              <w:rPr>
                <w:rFonts w:ascii="Calibri" w:eastAsia="Calibri" w:hAnsi="Calibri" w:cs="Calibri"/>
                <w:b/>
                <w:bCs/>
                <w:color w:val="ED7D31"/>
                <w:w w:val="99"/>
                <w:sz w:val="18"/>
                <w:szCs w:val="18"/>
              </w:rPr>
              <w:t>2</w:t>
            </w:r>
          </w:p>
        </w:tc>
        <w:tc>
          <w:tcPr>
            <w:tcW w:w="960" w:type="dxa"/>
            <w:vAlign w:val="bottom"/>
          </w:tcPr>
          <w:p w14:paraId="78AE9726" w14:textId="77777777" w:rsidR="00EF26BC" w:rsidRDefault="00EF26BC">
            <w:pPr>
              <w:rPr>
                <w:sz w:val="21"/>
                <w:szCs w:val="21"/>
              </w:rPr>
            </w:pPr>
          </w:p>
        </w:tc>
        <w:tc>
          <w:tcPr>
            <w:tcW w:w="960" w:type="dxa"/>
            <w:vAlign w:val="bottom"/>
          </w:tcPr>
          <w:p w14:paraId="78AE9727" w14:textId="77777777" w:rsidR="00EF26BC" w:rsidRDefault="00EF26BC">
            <w:pPr>
              <w:rPr>
                <w:sz w:val="21"/>
                <w:szCs w:val="21"/>
              </w:rPr>
            </w:pPr>
          </w:p>
        </w:tc>
        <w:tc>
          <w:tcPr>
            <w:tcW w:w="940" w:type="dxa"/>
            <w:vAlign w:val="bottom"/>
          </w:tcPr>
          <w:p w14:paraId="78AE9728" w14:textId="77777777" w:rsidR="00EF26BC" w:rsidRDefault="00EF26BC">
            <w:pPr>
              <w:rPr>
                <w:sz w:val="21"/>
                <w:szCs w:val="21"/>
              </w:rPr>
            </w:pPr>
          </w:p>
        </w:tc>
        <w:tc>
          <w:tcPr>
            <w:tcW w:w="980" w:type="dxa"/>
            <w:vAlign w:val="bottom"/>
          </w:tcPr>
          <w:p w14:paraId="78AE9729" w14:textId="77777777" w:rsidR="00EF26BC" w:rsidRDefault="00EF26BC">
            <w:pPr>
              <w:rPr>
                <w:sz w:val="21"/>
                <w:szCs w:val="21"/>
              </w:rPr>
            </w:pPr>
          </w:p>
        </w:tc>
        <w:tc>
          <w:tcPr>
            <w:tcW w:w="940" w:type="dxa"/>
            <w:vAlign w:val="bottom"/>
          </w:tcPr>
          <w:p w14:paraId="78AE972A" w14:textId="77777777" w:rsidR="00EF26BC" w:rsidRDefault="00EF26BC">
            <w:pPr>
              <w:rPr>
                <w:sz w:val="21"/>
                <w:szCs w:val="21"/>
              </w:rPr>
            </w:pPr>
          </w:p>
        </w:tc>
        <w:tc>
          <w:tcPr>
            <w:tcW w:w="0" w:type="dxa"/>
            <w:vAlign w:val="bottom"/>
          </w:tcPr>
          <w:p w14:paraId="78AE972B" w14:textId="77777777" w:rsidR="00EF26BC" w:rsidRDefault="00EF26BC">
            <w:pPr>
              <w:rPr>
                <w:sz w:val="1"/>
                <w:szCs w:val="1"/>
              </w:rPr>
            </w:pPr>
          </w:p>
        </w:tc>
      </w:tr>
      <w:tr w:rsidR="00EF26BC" w14:paraId="78AE9736" w14:textId="77777777">
        <w:trPr>
          <w:trHeight w:val="470"/>
        </w:trPr>
        <w:tc>
          <w:tcPr>
            <w:tcW w:w="960" w:type="dxa"/>
            <w:vAlign w:val="bottom"/>
          </w:tcPr>
          <w:p w14:paraId="78AE972D" w14:textId="77777777" w:rsidR="00EF26BC" w:rsidRDefault="00EF26BC">
            <w:pPr>
              <w:rPr>
                <w:sz w:val="24"/>
                <w:szCs w:val="24"/>
              </w:rPr>
            </w:pPr>
          </w:p>
        </w:tc>
        <w:tc>
          <w:tcPr>
            <w:tcW w:w="920" w:type="dxa"/>
            <w:vAlign w:val="bottom"/>
          </w:tcPr>
          <w:p w14:paraId="78AE972E" w14:textId="77777777" w:rsidR="00EF26BC" w:rsidRDefault="00343DF1">
            <w:pPr>
              <w:jc w:val="center"/>
              <w:rPr>
                <w:sz w:val="20"/>
                <w:szCs w:val="20"/>
              </w:rPr>
            </w:pPr>
            <w:r>
              <w:rPr>
                <w:rFonts w:ascii="Calibri" w:eastAsia="Calibri" w:hAnsi="Calibri" w:cs="Calibri"/>
                <w:b/>
                <w:bCs/>
                <w:color w:val="ED7D31"/>
                <w:w w:val="99"/>
                <w:sz w:val="18"/>
                <w:szCs w:val="18"/>
                <w:highlight w:val="white"/>
              </w:rPr>
              <w:t>10.91</w:t>
            </w:r>
            <w:r>
              <w:rPr>
                <w:rFonts w:ascii="Calibri" w:eastAsia="Calibri" w:hAnsi="Calibri" w:cs="Calibri"/>
                <w:b/>
                <w:bCs/>
                <w:color w:val="ED7D31"/>
                <w:w w:val="99"/>
                <w:sz w:val="18"/>
                <w:szCs w:val="18"/>
              </w:rPr>
              <w:t>6</w:t>
            </w:r>
          </w:p>
        </w:tc>
        <w:tc>
          <w:tcPr>
            <w:tcW w:w="960" w:type="dxa"/>
            <w:vAlign w:val="bottom"/>
          </w:tcPr>
          <w:p w14:paraId="78AE972F" w14:textId="77777777" w:rsidR="00EF26BC" w:rsidRDefault="00EF26BC">
            <w:pPr>
              <w:rPr>
                <w:sz w:val="24"/>
                <w:szCs w:val="24"/>
              </w:rPr>
            </w:pPr>
          </w:p>
        </w:tc>
        <w:tc>
          <w:tcPr>
            <w:tcW w:w="960" w:type="dxa"/>
            <w:vMerge w:val="restart"/>
            <w:vAlign w:val="bottom"/>
          </w:tcPr>
          <w:p w14:paraId="78AE9730" w14:textId="77777777" w:rsidR="00EF26BC" w:rsidRDefault="00343DF1">
            <w:pPr>
              <w:jc w:val="center"/>
              <w:rPr>
                <w:sz w:val="20"/>
                <w:szCs w:val="20"/>
              </w:rPr>
            </w:pPr>
            <w:r>
              <w:rPr>
                <w:rFonts w:ascii="Calibri" w:eastAsia="Calibri" w:hAnsi="Calibri" w:cs="Calibri"/>
                <w:b/>
                <w:bCs/>
                <w:color w:val="ED7D31"/>
                <w:w w:val="99"/>
                <w:sz w:val="18"/>
                <w:szCs w:val="18"/>
              </w:rPr>
              <w:t>1</w:t>
            </w:r>
            <w:r>
              <w:rPr>
                <w:rFonts w:ascii="Calibri" w:eastAsia="Calibri" w:hAnsi="Calibri" w:cs="Calibri"/>
                <w:b/>
                <w:bCs/>
                <w:color w:val="ED7D31"/>
                <w:w w:val="99"/>
                <w:sz w:val="18"/>
                <w:szCs w:val="18"/>
                <w:highlight w:val="white"/>
              </w:rPr>
              <w:t>0.32</w:t>
            </w:r>
            <w:r>
              <w:rPr>
                <w:rFonts w:ascii="Calibri" w:eastAsia="Calibri" w:hAnsi="Calibri" w:cs="Calibri"/>
                <w:b/>
                <w:bCs/>
                <w:color w:val="ED7D31"/>
                <w:w w:val="99"/>
                <w:sz w:val="18"/>
                <w:szCs w:val="18"/>
              </w:rPr>
              <w:t>9</w:t>
            </w:r>
          </w:p>
        </w:tc>
        <w:tc>
          <w:tcPr>
            <w:tcW w:w="960" w:type="dxa"/>
            <w:vAlign w:val="bottom"/>
          </w:tcPr>
          <w:p w14:paraId="78AE9731" w14:textId="77777777" w:rsidR="00EF26BC" w:rsidRDefault="00EF26BC">
            <w:pPr>
              <w:rPr>
                <w:sz w:val="24"/>
                <w:szCs w:val="24"/>
              </w:rPr>
            </w:pPr>
          </w:p>
        </w:tc>
        <w:tc>
          <w:tcPr>
            <w:tcW w:w="940" w:type="dxa"/>
            <w:vAlign w:val="bottom"/>
          </w:tcPr>
          <w:p w14:paraId="78AE9732" w14:textId="77777777" w:rsidR="00EF26BC" w:rsidRDefault="00EF26BC">
            <w:pPr>
              <w:rPr>
                <w:sz w:val="24"/>
                <w:szCs w:val="24"/>
              </w:rPr>
            </w:pPr>
          </w:p>
        </w:tc>
        <w:tc>
          <w:tcPr>
            <w:tcW w:w="980" w:type="dxa"/>
            <w:vAlign w:val="bottom"/>
          </w:tcPr>
          <w:p w14:paraId="78AE9733" w14:textId="77777777" w:rsidR="00EF26BC" w:rsidRDefault="00EF26BC">
            <w:pPr>
              <w:rPr>
                <w:sz w:val="24"/>
                <w:szCs w:val="24"/>
              </w:rPr>
            </w:pPr>
          </w:p>
        </w:tc>
        <w:tc>
          <w:tcPr>
            <w:tcW w:w="940" w:type="dxa"/>
            <w:vAlign w:val="bottom"/>
          </w:tcPr>
          <w:p w14:paraId="78AE9734" w14:textId="77777777" w:rsidR="00EF26BC" w:rsidRDefault="00EF26BC">
            <w:pPr>
              <w:rPr>
                <w:sz w:val="24"/>
                <w:szCs w:val="24"/>
              </w:rPr>
            </w:pPr>
          </w:p>
        </w:tc>
        <w:tc>
          <w:tcPr>
            <w:tcW w:w="0" w:type="dxa"/>
            <w:vAlign w:val="bottom"/>
          </w:tcPr>
          <w:p w14:paraId="78AE9735" w14:textId="77777777" w:rsidR="00EF26BC" w:rsidRDefault="00EF26BC">
            <w:pPr>
              <w:rPr>
                <w:sz w:val="1"/>
                <w:szCs w:val="1"/>
              </w:rPr>
            </w:pPr>
          </w:p>
        </w:tc>
      </w:tr>
      <w:tr w:rsidR="00EF26BC" w14:paraId="78AE9740" w14:textId="77777777">
        <w:trPr>
          <w:trHeight w:val="86"/>
        </w:trPr>
        <w:tc>
          <w:tcPr>
            <w:tcW w:w="960" w:type="dxa"/>
            <w:vAlign w:val="bottom"/>
          </w:tcPr>
          <w:p w14:paraId="78AE9737" w14:textId="77777777" w:rsidR="00EF26BC" w:rsidRDefault="00EF26BC">
            <w:pPr>
              <w:rPr>
                <w:sz w:val="7"/>
                <w:szCs w:val="7"/>
              </w:rPr>
            </w:pPr>
          </w:p>
        </w:tc>
        <w:tc>
          <w:tcPr>
            <w:tcW w:w="920" w:type="dxa"/>
            <w:vAlign w:val="bottom"/>
          </w:tcPr>
          <w:p w14:paraId="78AE9738" w14:textId="77777777" w:rsidR="00EF26BC" w:rsidRDefault="00EF26BC">
            <w:pPr>
              <w:rPr>
                <w:sz w:val="7"/>
                <w:szCs w:val="7"/>
              </w:rPr>
            </w:pPr>
          </w:p>
        </w:tc>
        <w:tc>
          <w:tcPr>
            <w:tcW w:w="960" w:type="dxa"/>
            <w:vAlign w:val="bottom"/>
          </w:tcPr>
          <w:p w14:paraId="78AE9739" w14:textId="77777777" w:rsidR="00EF26BC" w:rsidRDefault="00EF26BC">
            <w:pPr>
              <w:rPr>
                <w:sz w:val="7"/>
                <w:szCs w:val="7"/>
              </w:rPr>
            </w:pPr>
          </w:p>
        </w:tc>
        <w:tc>
          <w:tcPr>
            <w:tcW w:w="960" w:type="dxa"/>
            <w:vMerge/>
            <w:vAlign w:val="bottom"/>
          </w:tcPr>
          <w:p w14:paraId="78AE973A" w14:textId="77777777" w:rsidR="00EF26BC" w:rsidRDefault="00EF26BC">
            <w:pPr>
              <w:rPr>
                <w:sz w:val="7"/>
                <w:szCs w:val="7"/>
              </w:rPr>
            </w:pPr>
          </w:p>
        </w:tc>
        <w:tc>
          <w:tcPr>
            <w:tcW w:w="960" w:type="dxa"/>
            <w:vAlign w:val="bottom"/>
          </w:tcPr>
          <w:p w14:paraId="78AE973B" w14:textId="77777777" w:rsidR="00EF26BC" w:rsidRDefault="00EF26BC">
            <w:pPr>
              <w:rPr>
                <w:sz w:val="7"/>
                <w:szCs w:val="7"/>
              </w:rPr>
            </w:pPr>
          </w:p>
        </w:tc>
        <w:tc>
          <w:tcPr>
            <w:tcW w:w="940" w:type="dxa"/>
            <w:vAlign w:val="bottom"/>
          </w:tcPr>
          <w:p w14:paraId="78AE973C" w14:textId="77777777" w:rsidR="00EF26BC" w:rsidRDefault="00EF26BC">
            <w:pPr>
              <w:rPr>
                <w:sz w:val="7"/>
                <w:szCs w:val="7"/>
              </w:rPr>
            </w:pPr>
          </w:p>
        </w:tc>
        <w:tc>
          <w:tcPr>
            <w:tcW w:w="980" w:type="dxa"/>
            <w:vAlign w:val="bottom"/>
          </w:tcPr>
          <w:p w14:paraId="78AE973D" w14:textId="77777777" w:rsidR="00EF26BC" w:rsidRDefault="00EF26BC">
            <w:pPr>
              <w:rPr>
                <w:sz w:val="7"/>
                <w:szCs w:val="7"/>
              </w:rPr>
            </w:pPr>
          </w:p>
        </w:tc>
        <w:tc>
          <w:tcPr>
            <w:tcW w:w="940" w:type="dxa"/>
            <w:vAlign w:val="bottom"/>
          </w:tcPr>
          <w:p w14:paraId="78AE973E" w14:textId="77777777" w:rsidR="00EF26BC" w:rsidRDefault="00EF26BC">
            <w:pPr>
              <w:rPr>
                <w:sz w:val="7"/>
                <w:szCs w:val="7"/>
              </w:rPr>
            </w:pPr>
          </w:p>
        </w:tc>
        <w:tc>
          <w:tcPr>
            <w:tcW w:w="0" w:type="dxa"/>
            <w:vAlign w:val="bottom"/>
          </w:tcPr>
          <w:p w14:paraId="78AE973F" w14:textId="77777777" w:rsidR="00EF26BC" w:rsidRDefault="00EF26BC">
            <w:pPr>
              <w:rPr>
                <w:sz w:val="1"/>
                <w:szCs w:val="1"/>
              </w:rPr>
            </w:pPr>
          </w:p>
        </w:tc>
      </w:tr>
      <w:tr w:rsidR="00EF26BC" w14:paraId="78AE974A" w14:textId="77777777">
        <w:trPr>
          <w:trHeight w:val="648"/>
        </w:trPr>
        <w:tc>
          <w:tcPr>
            <w:tcW w:w="960" w:type="dxa"/>
            <w:vAlign w:val="bottom"/>
          </w:tcPr>
          <w:p w14:paraId="78AE9741" w14:textId="77777777" w:rsidR="00EF26BC" w:rsidRDefault="00EF26BC">
            <w:pPr>
              <w:rPr>
                <w:sz w:val="24"/>
                <w:szCs w:val="24"/>
              </w:rPr>
            </w:pPr>
          </w:p>
        </w:tc>
        <w:tc>
          <w:tcPr>
            <w:tcW w:w="920" w:type="dxa"/>
            <w:vAlign w:val="bottom"/>
          </w:tcPr>
          <w:p w14:paraId="78AE9742" w14:textId="77777777" w:rsidR="00EF26BC" w:rsidRDefault="00EF26BC">
            <w:pPr>
              <w:rPr>
                <w:sz w:val="24"/>
                <w:szCs w:val="24"/>
              </w:rPr>
            </w:pPr>
          </w:p>
        </w:tc>
        <w:tc>
          <w:tcPr>
            <w:tcW w:w="960" w:type="dxa"/>
            <w:vAlign w:val="bottom"/>
          </w:tcPr>
          <w:p w14:paraId="78AE9743" w14:textId="77777777" w:rsidR="00EF26BC" w:rsidRDefault="00EF26BC">
            <w:pPr>
              <w:rPr>
                <w:sz w:val="24"/>
                <w:szCs w:val="24"/>
              </w:rPr>
            </w:pPr>
          </w:p>
        </w:tc>
        <w:tc>
          <w:tcPr>
            <w:tcW w:w="960" w:type="dxa"/>
            <w:vAlign w:val="bottom"/>
          </w:tcPr>
          <w:p w14:paraId="78AE9744" w14:textId="77777777" w:rsidR="00EF26BC" w:rsidRDefault="00EF26BC">
            <w:pPr>
              <w:rPr>
                <w:sz w:val="24"/>
                <w:szCs w:val="24"/>
              </w:rPr>
            </w:pPr>
          </w:p>
        </w:tc>
        <w:tc>
          <w:tcPr>
            <w:tcW w:w="960" w:type="dxa"/>
            <w:vAlign w:val="bottom"/>
          </w:tcPr>
          <w:p w14:paraId="78AE9745" w14:textId="77777777" w:rsidR="00EF26BC" w:rsidRDefault="00343DF1">
            <w:pPr>
              <w:jc w:val="center"/>
              <w:rPr>
                <w:sz w:val="20"/>
                <w:szCs w:val="20"/>
              </w:rPr>
            </w:pPr>
            <w:r>
              <w:rPr>
                <w:rFonts w:ascii="Calibri" w:eastAsia="Calibri" w:hAnsi="Calibri" w:cs="Calibri"/>
                <w:b/>
                <w:bCs/>
                <w:color w:val="ED7D31"/>
                <w:sz w:val="18"/>
                <w:szCs w:val="18"/>
                <w:highlight w:val="white"/>
              </w:rPr>
              <w:t>6.131</w:t>
            </w:r>
          </w:p>
        </w:tc>
        <w:tc>
          <w:tcPr>
            <w:tcW w:w="940" w:type="dxa"/>
            <w:vAlign w:val="bottom"/>
          </w:tcPr>
          <w:p w14:paraId="78AE9746" w14:textId="77777777" w:rsidR="00EF26BC" w:rsidRDefault="00EF26BC">
            <w:pPr>
              <w:rPr>
                <w:sz w:val="24"/>
                <w:szCs w:val="24"/>
              </w:rPr>
            </w:pPr>
          </w:p>
        </w:tc>
        <w:tc>
          <w:tcPr>
            <w:tcW w:w="980" w:type="dxa"/>
            <w:vMerge w:val="restart"/>
            <w:vAlign w:val="bottom"/>
          </w:tcPr>
          <w:p w14:paraId="78AE9747" w14:textId="77777777" w:rsidR="00EF26BC" w:rsidRDefault="00343DF1">
            <w:pPr>
              <w:jc w:val="center"/>
              <w:rPr>
                <w:sz w:val="20"/>
                <w:szCs w:val="20"/>
              </w:rPr>
            </w:pPr>
            <w:r>
              <w:rPr>
                <w:rFonts w:ascii="Calibri" w:eastAsia="Calibri" w:hAnsi="Calibri" w:cs="Calibri"/>
                <w:b/>
                <w:bCs/>
                <w:color w:val="ED7D31"/>
                <w:w w:val="96"/>
                <w:sz w:val="18"/>
                <w:szCs w:val="18"/>
                <w:highlight w:val="white"/>
              </w:rPr>
              <w:t>5.471</w:t>
            </w:r>
          </w:p>
        </w:tc>
        <w:tc>
          <w:tcPr>
            <w:tcW w:w="940" w:type="dxa"/>
            <w:vAlign w:val="bottom"/>
          </w:tcPr>
          <w:p w14:paraId="78AE9748" w14:textId="77777777" w:rsidR="00EF26BC" w:rsidRDefault="00EF26BC">
            <w:pPr>
              <w:rPr>
                <w:sz w:val="24"/>
                <w:szCs w:val="24"/>
              </w:rPr>
            </w:pPr>
          </w:p>
        </w:tc>
        <w:tc>
          <w:tcPr>
            <w:tcW w:w="0" w:type="dxa"/>
            <w:vAlign w:val="bottom"/>
          </w:tcPr>
          <w:p w14:paraId="78AE9749" w14:textId="77777777" w:rsidR="00EF26BC" w:rsidRDefault="00EF26BC">
            <w:pPr>
              <w:rPr>
                <w:sz w:val="1"/>
                <w:szCs w:val="1"/>
              </w:rPr>
            </w:pPr>
          </w:p>
        </w:tc>
      </w:tr>
      <w:tr w:rsidR="00EF26BC" w14:paraId="78AE9754" w14:textId="77777777">
        <w:trPr>
          <w:trHeight w:val="101"/>
        </w:trPr>
        <w:tc>
          <w:tcPr>
            <w:tcW w:w="960" w:type="dxa"/>
            <w:vAlign w:val="bottom"/>
          </w:tcPr>
          <w:p w14:paraId="78AE974B" w14:textId="77777777" w:rsidR="00EF26BC" w:rsidRDefault="00EF26BC">
            <w:pPr>
              <w:rPr>
                <w:sz w:val="8"/>
                <w:szCs w:val="8"/>
              </w:rPr>
            </w:pPr>
          </w:p>
        </w:tc>
        <w:tc>
          <w:tcPr>
            <w:tcW w:w="920" w:type="dxa"/>
            <w:vAlign w:val="bottom"/>
          </w:tcPr>
          <w:p w14:paraId="78AE974C" w14:textId="77777777" w:rsidR="00EF26BC" w:rsidRDefault="00EF26BC">
            <w:pPr>
              <w:rPr>
                <w:sz w:val="8"/>
                <w:szCs w:val="8"/>
              </w:rPr>
            </w:pPr>
          </w:p>
        </w:tc>
        <w:tc>
          <w:tcPr>
            <w:tcW w:w="960" w:type="dxa"/>
            <w:vAlign w:val="bottom"/>
          </w:tcPr>
          <w:p w14:paraId="78AE974D" w14:textId="77777777" w:rsidR="00EF26BC" w:rsidRDefault="00EF26BC">
            <w:pPr>
              <w:rPr>
                <w:sz w:val="8"/>
                <w:szCs w:val="8"/>
              </w:rPr>
            </w:pPr>
          </w:p>
        </w:tc>
        <w:tc>
          <w:tcPr>
            <w:tcW w:w="960" w:type="dxa"/>
            <w:vAlign w:val="bottom"/>
          </w:tcPr>
          <w:p w14:paraId="78AE974E" w14:textId="77777777" w:rsidR="00EF26BC" w:rsidRDefault="00EF26BC">
            <w:pPr>
              <w:rPr>
                <w:sz w:val="8"/>
                <w:szCs w:val="8"/>
              </w:rPr>
            </w:pPr>
          </w:p>
        </w:tc>
        <w:tc>
          <w:tcPr>
            <w:tcW w:w="960" w:type="dxa"/>
            <w:vAlign w:val="bottom"/>
          </w:tcPr>
          <w:p w14:paraId="78AE974F" w14:textId="77777777" w:rsidR="00EF26BC" w:rsidRDefault="00EF26BC">
            <w:pPr>
              <w:rPr>
                <w:sz w:val="8"/>
                <w:szCs w:val="8"/>
              </w:rPr>
            </w:pPr>
          </w:p>
        </w:tc>
        <w:tc>
          <w:tcPr>
            <w:tcW w:w="940" w:type="dxa"/>
            <w:vMerge w:val="restart"/>
            <w:vAlign w:val="bottom"/>
          </w:tcPr>
          <w:p w14:paraId="78AE9750" w14:textId="77777777" w:rsidR="00EF26BC" w:rsidRDefault="00343DF1">
            <w:pPr>
              <w:jc w:val="center"/>
              <w:rPr>
                <w:sz w:val="20"/>
                <w:szCs w:val="20"/>
              </w:rPr>
            </w:pPr>
            <w:r>
              <w:rPr>
                <w:rFonts w:ascii="Calibri" w:eastAsia="Calibri" w:hAnsi="Calibri" w:cs="Calibri"/>
                <w:b/>
                <w:bCs/>
                <w:color w:val="ED7D31"/>
                <w:sz w:val="18"/>
                <w:szCs w:val="18"/>
                <w:highlight w:val="white"/>
              </w:rPr>
              <w:t>3.854</w:t>
            </w:r>
          </w:p>
        </w:tc>
        <w:tc>
          <w:tcPr>
            <w:tcW w:w="980" w:type="dxa"/>
            <w:vMerge/>
            <w:vAlign w:val="bottom"/>
          </w:tcPr>
          <w:p w14:paraId="78AE9751" w14:textId="77777777" w:rsidR="00EF26BC" w:rsidRDefault="00EF26BC">
            <w:pPr>
              <w:rPr>
                <w:sz w:val="8"/>
                <w:szCs w:val="8"/>
              </w:rPr>
            </w:pPr>
          </w:p>
        </w:tc>
        <w:tc>
          <w:tcPr>
            <w:tcW w:w="940" w:type="dxa"/>
            <w:vAlign w:val="bottom"/>
          </w:tcPr>
          <w:p w14:paraId="78AE9752" w14:textId="77777777" w:rsidR="00EF26BC" w:rsidRDefault="00EF26BC">
            <w:pPr>
              <w:rPr>
                <w:sz w:val="8"/>
                <w:szCs w:val="8"/>
              </w:rPr>
            </w:pPr>
          </w:p>
        </w:tc>
        <w:tc>
          <w:tcPr>
            <w:tcW w:w="0" w:type="dxa"/>
            <w:vAlign w:val="bottom"/>
          </w:tcPr>
          <w:p w14:paraId="78AE9753" w14:textId="77777777" w:rsidR="00EF26BC" w:rsidRDefault="00EF26BC">
            <w:pPr>
              <w:rPr>
                <w:sz w:val="1"/>
                <w:szCs w:val="1"/>
              </w:rPr>
            </w:pPr>
          </w:p>
        </w:tc>
      </w:tr>
      <w:tr w:rsidR="00EF26BC" w14:paraId="78AE975E" w14:textId="77777777">
        <w:trPr>
          <w:trHeight w:val="250"/>
        </w:trPr>
        <w:tc>
          <w:tcPr>
            <w:tcW w:w="960" w:type="dxa"/>
            <w:vMerge w:val="restart"/>
            <w:vAlign w:val="bottom"/>
          </w:tcPr>
          <w:p w14:paraId="78AE9755" w14:textId="77777777" w:rsidR="00EF26BC" w:rsidRDefault="00343DF1">
            <w:pPr>
              <w:jc w:val="center"/>
              <w:rPr>
                <w:sz w:val="20"/>
                <w:szCs w:val="20"/>
              </w:rPr>
            </w:pPr>
            <w:r>
              <w:rPr>
                <w:rFonts w:ascii="Calibri" w:eastAsia="Calibri" w:hAnsi="Calibri" w:cs="Calibri"/>
                <w:b/>
                <w:bCs/>
                <w:color w:val="ED7D31"/>
                <w:sz w:val="18"/>
                <w:szCs w:val="18"/>
                <w:highlight w:val="white"/>
              </w:rPr>
              <w:t>2.603</w:t>
            </w:r>
          </w:p>
        </w:tc>
        <w:tc>
          <w:tcPr>
            <w:tcW w:w="920" w:type="dxa"/>
            <w:vAlign w:val="bottom"/>
          </w:tcPr>
          <w:p w14:paraId="78AE9756" w14:textId="77777777" w:rsidR="00EF26BC" w:rsidRDefault="00EF26BC">
            <w:pPr>
              <w:rPr>
                <w:sz w:val="21"/>
                <w:szCs w:val="21"/>
              </w:rPr>
            </w:pPr>
          </w:p>
        </w:tc>
        <w:tc>
          <w:tcPr>
            <w:tcW w:w="960" w:type="dxa"/>
            <w:vAlign w:val="bottom"/>
          </w:tcPr>
          <w:p w14:paraId="78AE9757" w14:textId="77777777" w:rsidR="00EF26BC" w:rsidRDefault="00EF26BC">
            <w:pPr>
              <w:rPr>
                <w:sz w:val="21"/>
                <w:szCs w:val="21"/>
              </w:rPr>
            </w:pPr>
          </w:p>
        </w:tc>
        <w:tc>
          <w:tcPr>
            <w:tcW w:w="960" w:type="dxa"/>
            <w:vAlign w:val="bottom"/>
          </w:tcPr>
          <w:p w14:paraId="78AE9758" w14:textId="77777777" w:rsidR="00EF26BC" w:rsidRDefault="00EF26BC">
            <w:pPr>
              <w:rPr>
                <w:sz w:val="21"/>
                <w:szCs w:val="21"/>
              </w:rPr>
            </w:pPr>
          </w:p>
        </w:tc>
        <w:tc>
          <w:tcPr>
            <w:tcW w:w="960" w:type="dxa"/>
            <w:vAlign w:val="bottom"/>
          </w:tcPr>
          <w:p w14:paraId="78AE9759" w14:textId="77777777" w:rsidR="00EF26BC" w:rsidRDefault="00EF26BC">
            <w:pPr>
              <w:rPr>
                <w:sz w:val="21"/>
                <w:szCs w:val="21"/>
              </w:rPr>
            </w:pPr>
          </w:p>
        </w:tc>
        <w:tc>
          <w:tcPr>
            <w:tcW w:w="940" w:type="dxa"/>
            <w:vMerge/>
            <w:vAlign w:val="bottom"/>
          </w:tcPr>
          <w:p w14:paraId="78AE975A" w14:textId="77777777" w:rsidR="00EF26BC" w:rsidRDefault="00EF26BC">
            <w:pPr>
              <w:rPr>
                <w:sz w:val="21"/>
                <w:szCs w:val="21"/>
              </w:rPr>
            </w:pPr>
          </w:p>
        </w:tc>
        <w:tc>
          <w:tcPr>
            <w:tcW w:w="980" w:type="dxa"/>
            <w:vAlign w:val="bottom"/>
          </w:tcPr>
          <w:p w14:paraId="78AE975B" w14:textId="77777777" w:rsidR="00EF26BC" w:rsidRDefault="00EF26BC">
            <w:pPr>
              <w:rPr>
                <w:sz w:val="21"/>
                <w:szCs w:val="21"/>
              </w:rPr>
            </w:pPr>
          </w:p>
        </w:tc>
        <w:tc>
          <w:tcPr>
            <w:tcW w:w="940" w:type="dxa"/>
            <w:vAlign w:val="bottom"/>
          </w:tcPr>
          <w:p w14:paraId="78AE975C" w14:textId="77777777" w:rsidR="00EF26BC" w:rsidRDefault="00EF26BC">
            <w:pPr>
              <w:rPr>
                <w:sz w:val="21"/>
                <w:szCs w:val="21"/>
              </w:rPr>
            </w:pPr>
          </w:p>
        </w:tc>
        <w:tc>
          <w:tcPr>
            <w:tcW w:w="0" w:type="dxa"/>
            <w:vAlign w:val="bottom"/>
          </w:tcPr>
          <w:p w14:paraId="78AE975D" w14:textId="77777777" w:rsidR="00EF26BC" w:rsidRDefault="00EF26BC">
            <w:pPr>
              <w:rPr>
                <w:sz w:val="1"/>
                <w:szCs w:val="1"/>
              </w:rPr>
            </w:pPr>
          </w:p>
        </w:tc>
      </w:tr>
      <w:tr w:rsidR="00EF26BC" w14:paraId="78AE9768" w14:textId="77777777">
        <w:trPr>
          <w:trHeight w:val="192"/>
        </w:trPr>
        <w:tc>
          <w:tcPr>
            <w:tcW w:w="960" w:type="dxa"/>
            <w:vMerge/>
            <w:vAlign w:val="bottom"/>
          </w:tcPr>
          <w:p w14:paraId="78AE975F" w14:textId="77777777" w:rsidR="00EF26BC" w:rsidRDefault="00EF26BC">
            <w:pPr>
              <w:rPr>
                <w:sz w:val="16"/>
                <w:szCs w:val="16"/>
              </w:rPr>
            </w:pPr>
          </w:p>
        </w:tc>
        <w:tc>
          <w:tcPr>
            <w:tcW w:w="920" w:type="dxa"/>
            <w:vAlign w:val="bottom"/>
          </w:tcPr>
          <w:p w14:paraId="78AE9760" w14:textId="77777777" w:rsidR="00EF26BC" w:rsidRDefault="00EF26BC">
            <w:pPr>
              <w:rPr>
                <w:sz w:val="16"/>
                <w:szCs w:val="16"/>
              </w:rPr>
            </w:pPr>
          </w:p>
        </w:tc>
        <w:tc>
          <w:tcPr>
            <w:tcW w:w="960" w:type="dxa"/>
            <w:vAlign w:val="bottom"/>
          </w:tcPr>
          <w:p w14:paraId="78AE9761" w14:textId="77777777" w:rsidR="00EF26BC" w:rsidRDefault="00EF26BC">
            <w:pPr>
              <w:rPr>
                <w:sz w:val="16"/>
                <w:szCs w:val="16"/>
              </w:rPr>
            </w:pPr>
          </w:p>
        </w:tc>
        <w:tc>
          <w:tcPr>
            <w:tcW w:w="960" w:type="dxa"/>
            <w:vAlign w:val="bottom"/>
          </w:tcPr>
          <w:p w14:paraId="78AE9762" w14:textId="77777777" w:rsidR="00EF26BC" w:rsidRDefault="00EF26BC">
            <w:pPr>
              <w:rPr>
                <w:sz w:val="16"/>
                <w:szCs w:val="16"/>
              </w:rPr>
            </w:pPr>
          </w:p>
        </w:tc>
        <w:tc>
          <w:tcPr>
            <w:tcW w:w="960" w:type="dxa"/>
            <w:vAlign w:val="bottom"/>
          </w:tcPr>
          <w:p w14:paraId="78AE9763" w14:textId="77777777" w:rsidR="00EF26BC" w:rsidRDefault="00EF26BC">
            <w:pPr>
              <w:rPr>
                <w:sz w:val="16"/>
                <w:szCs w:val="16"/>
              </w:rPr>
            </w:pPr>
          </w:p>
        </w:tc>
        <w:tc>
          <w:tcPr>
            <w:tcW w:w="940" w:type="dxa"/>
            <w:vAlign w:val="bottom"/>
          </w:tcPr>
          <w:p w14:paraId="78AE9764" w14:textId="77777777" w:rsidR="00EF26BC" w:rsidRDefault="00EF26BC">
            <w:pPr>
              <w:rPr>
                <w:sz w:val="16"/>
                <w:szCs w:val="16"/>
              </w:rPr>
            </w:pPr>
          </w:p>
        </w:tc>
        <w:tc>
          <w:tcPr>
            <w:tcW w:w="980" w:type="dxa"/>
            <w:vAlign w:val="bottom"/>
          </w:tcPr>
          <w:p w14:paraId="78AE9765" w14:textId="77777777" w:rsidR="00EF26BC" w:rsidRDefault="00EF26BC">
            <w:pPr>
              <w:rPr>
                <w:sz w:val="16"/>
                <w:szCs w:val="16"/>
              </w:rPr>
            </w:pPr>
          </w:p>
        </w:tc>
        <w:tc>
          <w:tcPr>
            <w:tcW w:w="940" w:type="dxa"/>
            <w:vAlign w:val="bottom"/>
          </w:tcPr>
          <w:p w14:paraId="78AE9766" w14:textId="77777777" w:rsidR="00EF26BC" w:rsidRDefault="00EF26BC">
            <w:pPr>
              <w:rPr>
                <w:sz w:val="16"/>
                <w:szCs w:val="16"/>
              </w:rPr>
            </w:pPr>
          </w:p>
        </w:tc>
        <w:tc>
          <w:tcPr>
            <w:tcW w:w="0" w:type="dxa"/>
            <w:vAlign w:val="bottom"/>
          </w:tcPr>
          <w:p w14:paraId="78AE9767" w14:textId="77777777" w:rsidR="00EF26BC" w:rsidRDefault="00EF26BC">
            <w:pPr>
              <w:rPr>
                <w:sz w:val="1"/>
                <w:szCs w:val="1"/>
              </w:rPr>
            </w:pPr>
          </w:p>
        </w:tc>
      </w:tr>
      <w:tr w:rsidR="00EF26BC" w14:paraId="78AE9772" w14:textId="77777777">
        <w:trPr>
          <w:trHeight w:val="298"/>
        </w:trPr>
        <w:tc>
          <w:tcPr>
            <w:tcW w:w="960" w:type="dxa"/>
            <w:vAlign w:val="bottom"/>
          </w:tcPr>
          <w:p w14:paraId="78AE9769" w14:textId="77777777" w:rsidR="00EF26BC" w:rsidRDefault="00EF26BC">
            <w:pPr>
              <w:rPr>
                <w:sz w:val="24"/>
                <w:szCs w:val="24"/>
              </w:rPr>
            </w:pPr>
          </w:p>
        </w:tc>
        <w:tc>
          <w:tcPr>
            <w:tcW w:w="920" w:type="dxa"/>
            <w:vAlign w:val="bottom"/>
          </w:tcPr>
          <w:p w14:paraId="78AE976A" w14:textId="77777777" w:rsidR="00EF26BC" w:rsidRDefault="00EF26BC">
            <w:pPr>
              <w:rPr>
                <w:sz w:val="24"/>
                <w:szCs w:val="24"/>
              </w:rPr>
            </w:pPr>
          </w:p>
        </w:tc>
        <w:tc>
          <w:tcPr>
            <w:tcW w:w="960" w:type="dxa"/>
            <w:vAlign w:val="bottom"/>
          </w:tcPr>
          <w:p w14:paraId="78AE976B" w14:textId="77777777" w:rsidR="00EF26BC" w:rsidRDefault="00EF26BC">
            <w:pPr>
              <w:rPr>
                <w:sz w:val="24"/>
                <w:szCs w:val="24"/>
              </w:rPr>
            </w:pPr>
          </w:p>
        </w:tc>
        <w:tc>
          <w:tcPr>
            <w:tcW w:w="960" w:type="dxa"/>
            <w:vAlign w:val="bottom"/>
          </w:tcPr>
          <w:p w14:paraId="78AE976C" w14:textId="77777777" w:rsidR="00EF26BC" w:rsidRDefault="00EF26BC">
            <w:pPr>
              <w:rPr>
                <w:sz w:val="24"/>
                <w:szCs w:val="24"/>
              </w:rPr>
            </w:pPr>
          </w:p>
        </w:tc>
        <w:tc>
          <w:tcPr>
            <w:tcW w:w="960" w:type="dxa"/>
            <w:vAlign w:val="bottom"/>
          </w:tcPr>
          <w:p w14:paraId="78AE976D" w14:textId="77777777" w:rsidR="00EF26BC" w:rsidRDefault="00EF26BC">
            <w:pPr>
              <w:rPr>
                <w:sz w:val="24"/>
                <w:szCs w:val="24"/>
              </w:rPr>
            </w:pPr>
          </w:p>
        </w:tc>
        <w:tc>
          <w:tcPr>
            <w:tcW w:w="940" w:type="dxa"/>
            <w:vAlign w:val="bottom"/>
          </w:tcPr>
          <w:p w14:paraId="78AE976E" w14:textId="77777777" w:rsidR="00EF26BC" w:rsidRDefault="00EF26BC">
            <w:pPr>
              <w:rPr>
                <w:sz w:val="24"/>
                <w:szCs w:val="24"/>
              </w:rPr>
            </w:pPr>
          </w:p>
        </w:tc>
        <w:tc>
          <w:tcPr>
            <w:tcW w:w="980" w:type="dxa"/>
            <w:vAlign w:val="bottom"/>
          </w:tcPr>
          <w:p w14:paraId="78AE976F" w14:textId="77777777" w:rsidR="00EF26BC" w:rsidRDefault="00EF26BC">
            <w:pPr>
              <w:rPr>
                <w:sz w:val="24"/>
                <w:szCs w:val="24"/>
              </w:rPr>
            </w:pPr>
          </w:p>
        </w:tc>
        <w:tc>
          <w:tcPr>
            <w:tcW w:w="940" w:type="dxa"/>
            <w:vAlign w:val="bottom"/>
          </w:tcPr>
          <w:p w14:paraId="78AE9770" w14:textId="77777777" w:rsidR="00EF26BC" w:rsidRDefault="00343DF1">
            <w:pPr>
              <w:jc w:val="center"/>
              <w:rPr>
                <w:sz w:val="20"/>
                <w:szCs w:val="20"/>
              </w:rPr>
            </w:pPr>
            <w:r>
              <w:rPr>
                <w:rFonts w:ascii="Calibri" w:eastAsia="Calibri" w:hAnsi="Calibri" w:cs="Calibri"/>
                <w:b/>
                <w:bCs/>
                <w:color w:val="ED7D31"/>
                <w:sz w:val="18"/>
                <w:szCs w:val="18"/>
              </w:rPr>
              <w:t>654</w:t>
            </w:r>
          </w:p>
        </w:tc>
        <w:tc>
          <w:tcPr>
            <w:tcW w:w="0" w:type="dxa"/>
            <w:vAlign w:val="bottom"/>
          </w:tcPr>
          <w:p w14:paraId="78AE9771" w14:textId="77777777" w:rsidR="00EF26BC" w:rsidRDefault="00EF26BC">
            <w:pPr>
              <w:rPr>
                <w:sz w:val="1"/>
                <w:szCs w:val="1"/>
              </w:rPr>
            </w:pPr>
          </w:p>
        </w:tc>
      </w:tr>
      <w:tr w:rsidR="00EF26BC" w14:paraId="78AE977C" w14:textId="77777777">
        <w:trPr>
          <w:trHeight w:val="300"/>
        </w:trPr>
        <w:tc>
          <w:tcPr>
            <w:tcW w:w="960" w:type="dxa"/>
            <w:vAlign w:val="bottom"/>
          </w:tcPr>
          <w:p w14:paraId="78AE9773" w14:textId="77777777" w:rsidR="00EF26BC" w:rsidRDefault="00343DF1">
            <w:pPr>
              <w:jc w:val="center"/>
              <w:rPr>
                <w:sz w:val="20"/>
                <w:szCs w:val="20"/>
              </w:rPr>
            </w:pPr>
            <w:r>
              <w:rPr>
                <w:rFonts w:ascii="Calibri" w:eastAsia="Calibri" w:hAnsi="Calibri" w:cs="Calibri"/>
                <w:color w:val="595959"/>
                <w:w w:val="99"/>
                <w:sz w:val="18"/>
                <w:szCs w:val="18"/>
              </w:rPr>
              <w:t>Menores de</w:t>
            </w:r>
          </w:p>
        </w:tc>
        <w:tc>
          <w:tcPr>
            <w:tcW w:w="920" w:type="dxa"/>
            <w:vAlign w:val="bottom"/>
          </w:tcPr>
          <w:p w14:paraId="78AE9774" w14:textId="77777777" w:rsidR="00EF26BC" w:rsidRDefault="00343DF1">
            <w:pPr>
              <w:jc w:val="center"/>
              <w:rPr>
                <w:sz w:val="20"/>
                <w:szCs w:val="20"/>
              </w:rPr>
            </w:pPr>
            <w:r>
              <w:rPr>
                <w:rFonts w:ascii="Calibri" w:eastAsia="Calibri" w:hAnsi="Calibri" w:cs="Calibri"/>
                <w:color w:val="595959"/>
                <w:sz w:val="18"/>
                <w:szCs w:val="18"/>
              </w:rPr>
              <w:t>De 18 a 26</w:t>
            </w:r>
          </w:p>
        </w:tc>
        <w:tc>
          <w:tcPr>
            <w:tcW w:w="960" w:type="dxa"/>
            <w:vAlign w:val="bottom"/>
          </w:tcPr>
          <w:p w14:paraId="78AE9775" w14:textId="77777777" w:rsidR="00EF26BC" w:rsidRDefault="00343DF1">
            <w:pPr>
              <w:jc w:val="center"/>
              <w:rPr>
                <w:sz w:val="20"/>
                <w:szCs w:val="20"/>
              </w:rPr>
            </w:pPr>
            <w:r>
              <w:rPr>
                <w:rFonts w:ascii="Calibri" w:eastAsia="Calibri" w:hAnsi="Calibri" w:cs="Calibri"/>
                <w:color w:val="595959"/>
                <w:sz w:val="18"/>
                <w:szCs w:val="18"/>
              </w:rPr>
              <w:t>De 27 a 35</w:t>
            </w:r>
          </w:p>
        </w:tc>
        <w:tc>
          <w:tcPr>
            <w:tcW w:w="960" w:type="dxa"/>
            <w:vAlign w:val="bottom"/>
          </w:tcPr>
          <w:p w14:paraId="78AE9776" w14:textId="77777777" w:rsidR="00EF26BC" w:rsidRDefault="00343DF1">
            <w:pPr>
              <w:jc w:val="center"/>
              <w:rPr>
                <w:sz w:val="20"/>
                <w:szCs w:val="20"/>
              </w:rPr>
            </w:pPr>
            <w:r>
              <w:rPr>
                <w:rFonts w:ascii="Calibri" w:eastAsia="Calibri" w:hAnsi="Calibri" w:cs="Calibri"/>
                <w:color w:val="595959"/>
                <w:sz w:val="18"/>
                <w:szCs w:val="18"/>
              </w:rPr>
              <w:t>De 36 a 44</w:t>
            </w:r>
          </w:p>
        </w:tc>
        <w:tc>
          <w:tcPr>
            <w:tcW w:w="960" w:type="dxa"/>
            <w:vAlign w:val="bottom"/>
          </w:tcPr>
          <w:p w14:paraId="78AE9777" w14:textId="77777777" w:rsidR="00EF26BC" w:rsidRDefault="00343DF1">
            <w:pPr>
              <w:jc w:val="center"/>
              <w:rPr>
                <w:sz w:val="20"/>
                <w:szCs w:val="20"/>
              </w:rPr>
            </w:pPr>
            <w:r>
              <w:rPr>
                <w:rFonts w:ascii="Calibri" w:eastAsia="Calibri" w:hAnsi="Calibri" w:cs="Calibri"/>
                <w:color w:val="595959"/>
                <w:sz w:val="18"/>
                <w:szCs w:val="18"/>
              </w:rPr>
              <w:t>De 45 a 53</w:t>
            </w:r>
          </w:p>
        </w:tc>
        <w:tc>
          <w:tcPr>
            <w:tcW w:w="940" w:type="dxa"/>
            <w:vAlign w:val="bottom"/>
          </w:tcPr>
          <w:p w14:paraId="78AE9778" w14:textId="77777777" w:rsidR="00EF26BC" w:rsidRDefault="00343DF1">
            <w:pPr>
              <w:jc w:val="center"/>
              <w:rPr>
                <w:sz w:val="20"/>
                <w:szCs w:val="20"/>
              </w:rPr>
            </w:pPr>
            <w:r>
              <w:rPr>
                <w:rFonts w:ascii="Calibri" w:eastAsia="Calibri" w:hAnsi="Calibri" w:cs="Calibri"/>
                <w:color w:val="595959"/>
                <w:w w:val="98"/>
                <w:sz w:val="18"/>
                <w:szCs w:val="18"/>
              </w:rPr>
              <w:t>De 54 a 62</w:t>
            </w:r>
          </w:p>
        </w:tc>
        <w:tc>
          <w:tcPr>
            <w:tcW w:w="980" w:type="dxa"/>
            <w:vAlign w:val="bottom"/>
          </w:tcPr>
          <w:p w14:paraId="78AE9779" w14:textId="77777777" w:rsidR="00EF26BC" w:rsidRDefault="00343DF1">
            <w:pPr>
              <w:jc w:val="center"/>
              <w:rPr>
                <w:sz w:val="20"/>
                <w:szCs w:val="20"/>
              </w:rPr>
            </w:pPr>
            <w:r>
              <w:rPr>
                <w:rFonts w:ascii="Calibri" w:eastAsia="Calibri" w:hAnsi="Calibri" w:cs="Calibri"/>
                <w:color w:val="595959"/>
                <w:w w:val="98"/>
                <w:sz w:val="18"/>
                <w:szCs w:val="18"/>
              </w:rPr>
              <w:t>De 63 a más</w:t>
            </w:r>
          </w:p>
        </w:tc>
        <w:tc>
          <w:tcPr>
            <w:tcW w:w="940" w:type="dxa"/>
            <w:vAlign w:val="bottom"/>
          </w:tcPr>
          <w:p w14:paraId="78AE977A" w14:textId="77777777" w:rsidR="00EF26BC" w:rsidRDefault="00343DF1">
            <w:pPr>
              <w:jc w:val="center"/>
              <w:rPr>
                <w:sz w:val="20"/>
                <w:szCs w:val="20"/>
              </w:rPr>
            </w:pPr>
            <w:r>
              <w:rPr>
                <w:rFonts w:ascii="Calibri" w:eastAsia="Calibri" w:hAnsi="Calibri" w:cs="Calibri"/>
                <w:color w:val="595959"/>
                <w:sz w:val="18"/>
                <w:szCs w:val="18"/>
              </w:rPr>
              <w:t>Dato</w:t>
            </w:r>
          </w:p>
        </w:tc>
        <w:tc>
          <w:tcPr>
            <w:tcW w:w="0" w:type="dxa"/>
            <w:vAlign w:val="bottom"/>
          </w:tcPr>
          <w:p w14:paraId="78AE977B" w14:textId="77777777" w:rsidR="00EF26BC" w:rsidRDefault="00EF26BC">
            <w:pPr>
              <w:rPr>
                <w:sz w:val="1"/>
                <w:szCs w:val="1"/>
              </w:rPr>
            </w:pPr>
          </w:p>
        </w:tc>
      </w:tr>
      <w:tr w:rsidR="00EF26BC" w14:paraId="78AE9786" w14:textId="77777777">
        <w:trPr>
          <w:trHeight w:val="216"/>
        </w:trPr>
        <w:tc>
          <w:tcPr>
            <w:tcW w:w="960" w:type="dxa"/>
            <w:vAlign w:val="bottom"/>
          </w:tcPr>
          <w:p w14:paraId="78AE977D" w14:textId="77777777" w:rsidR="00EF26BC" w:rsidRDefault="00343DF1">
            <w:pPr>
              <w:spacing w:line="216" w:lineRule="exact"/>
              <w:jc w:val="center"/>
              <w:rPr>
                <w:sz w:val="20"/>
                <w:szCs w:val="20"/>
              </w:rPr>
            </w:pPr>
            <w:r>
              <w:rPr>
                <w:rFonts w:ascii="Calibri" w:eastAsia="Calibri" w:hAnsi="Calibri" w:cs="Calibri"/>
                <w:color w:val="595959"/>
                <w:w w:val="99"/>
                <w:sz w:val="18"/>
                <w:szCs w:val="18"/>
              </w:rPr>
              <w:t>edad (de 0 a</w:t>
            </w:r>
          </w:p>
        </w:tc>
        <w:tc>
          <w:tcPr>
            <w:tcW w:w="920" w:type="dxa"/>
            <w:vAlign w:val="bottom"/>
          </w:tcPr>
          <w:p w14:paraId="78AE977E" w14:textId="77777777" w:rsidR="00EF26BC" w:rsidRDefault="00343DF1">
            <w:pPr>
              <w:spacing w:line="216" w:lineRule="exact"/>
              <w:jc w:val="center"/>
              <w:rPr>
                <w:sz w:val="20"/>
                <w:szCs w:val="20"/>
              </w:rPr>
            </w:pPr>
            <w:r>
              <w:rPr>
                <w:rFonts w:ascii="Calibri" w:eastAsia="Calibri" w:hAnsi="Calibri" w:cs="Calibri"/>
                <w:color w:val="595959"/>
                <w:w w:val="98"/>
                <w:sz w:val="18"/>
                <w:szCs w:val="18"/>
              </w:rPr>
              <w:t>años</w:t>
            </w:r>
          </w:p>
        </w:tc>
        <w:tc>
          <w:tcPr>
            <w:tcW w:w="960" w:type="dxa"/>
            <w:vAlign w:val="bottom"/>
          </w:tcPr>
          <w:p w14:paraId="78AE977F" w14:textId="77777777" w:rsidR="00EF26BC" w:rsidRDefault="00343DF1">
            <w:pPr>
              <w:spacing w:line="216" w:lineRule="exact"/>
              <w:jc w:val="center"/>
              <w:rPr>
                <w:sz w:val="20"/>
                <w:szCs w:val="20"/>
              </w:rPr>
            </w:pPr>
            <w:r>
              <w:rPr>
                <w:rFonts w:ascii="Calibri" w:eastAsia="Calibri" w:hAnsi="Calibri" w:cs="Calibri"/>
                <w:color w:val="595959"/>
                <w:w w:val="98"/>
                <w:sz w:val="18"/>
                <w:szCs w:val="18"/>
              </w:rPr>
              <w:t>años</w:t>
            </w:r>
          </w:p>
        </w:tc>
        <w:tc>
          <w:tcPr>
            <w:tcW w:w="960" w:type="dxa"/>
            <w:vAlign w:val="bottom"/>
          </w:tcPr>
          <w:p w14:paraId="78AE9780" w14:textId="77777777" w:rsidR="00EF26BC" w:rsidRDefault="00343DF1">
            <w:pPr>
              <w:spacing w:line="216" w:lineRule="exact"/>
              <w:jc w:val="center"/>
              <w:rPr>
                <w:sz w:val="20"/>
                <w:szCs w:val="20"/>
              </w:rPr>
            </w:pPr>
            <w:r>
              <w:rPr>
                <w:rFonts w:ascii="Calibri" w:eastAsia="Calibri" w:hAnsi="Calibri" w:cs="Calibri"/>
                <w:color w:val="595959"/>
                <w:w w:val="98"/>
                <w:sz w:val="18"/>
                <w:szCs w:val="18"/>
              </w:rPr>
              <w:t>años</w:t>
            </w:r>
          </w:p>
        </w:tc>
        <w:tc>
          <w:tcPr>
            <w:tcW w:w="960" w:type="dxa"/>
            <w:vAlign w:val="bottom"/>
          </w:tcPr>
          <w:p w14:paraId="78AE9781" w14:textId="77777777" w:rsidR="00EF26BC" w:rsidRDefault="00343DF1">
            <w:pPr>
              <w:spacing w:line="216" w:lineRule="exact"/>
              <w:jc w:val="center"/>
              <w:rPr>
                <w:sz w:val="20"/>
                <w:szCs w:val="20"/>
              </w:rPr>
            </w:pPr>
            <w:r>
              <w:rPr>
                <w:rFonts w:ascii="Calibri" w:eastAsia="Calibri" w:hAnsi="Calibri" w:cs="Calibri"/>
                <w:color w:val="595959"/>
                <w:sz w:val="18"/>
                <w:szCs w:val="18"/>
              </w:rPr>
              <w:t>años</w:t>
            </w:r>
          </w:p>
        </w:tc>
        <w:tc>
          <w:tcPr>
            <w:tcW w:w="940" w:type="dxa"/>
            <w:vAlign w:val="bottom"/>
          </w:tcPr>
          <w:p w14:paraId="78AE9782" w14:textId="77777777" w:rsidR="00EF26BC" w:rsidRDefault="00343DF1">
            <w:pPr>
              <w:spacing w:line="216" w:lineRule="exact"/>
              <w:jc w:val="center"/>
              <w:rPr>
                <w:sz w:val="20"/>
                <w:szCs w:val="20"/>
              </w:rPr>
            </w:pPr>
            <w:r>
              <w:rPr>
                <w:rFonts w:ascii="Calibri" w:eastAsia="Calibri" w:hAnsi="Calibri" w:cs="Calibri"/>
                <w:color w:val="595959"/>
                <w:sz w:val="18"/>
                <w:szCs w:val="18"/>
              </w:rPr>
              <w:t>años</w:t>
            </w:r>
          </w:p>
        </w:tc>
        <w:tc>
          <w:tcPr>
            <w:tcW w:w="980" w:type="dxa"/>
            <w:vAlign w:val="bottom"/>
          </w:tcPr>
          <w:p w14:paraId="78AE9783" w14:textId="77777777" w:rsidR="00EF26BC" w:rsidRDefault="00343DF1">
            <w:pPr>
              <w:spacing w:line="216" w:lineRule="exact"/>
              <w:jc w:val="center"/>
              <w:rPr>
                <w:sz w:val="20"/>
                <w:szCs w:val="20"/>
              </w:rPr>
            </w:pPr>
            <w:r>
              <w:rPr>
                <w:rFonts w:ascii="Calibri" w:eastAsia="Calibri" w:hAnsi="Calibri" w:cs="Calibri"/>
                <w:color w:val="595959"/>
                <w:sz w:val="18"/>
                <w:szCs w:val="18"/>
              </w:rPr>
              <w:t>años</w:t>
            </w:r>
          </w:p>
        </w:tc>
        <w:tc>
          <w:tcPr>
            <w:tcW w:w="940" w:type="dxa"/>
            <w:vAlign w:val="bottom"/>
          </w:tcPr>
          <w:p w14:paraId="78AE9784" w14:textId="77777777" w:rsidR="00EF26BC" w:rsidRDefault="00343DF1">
            <w:pPr>
              <w:spacing w:line="216" w:lineRule="exact"/>
              <w:jc w:val="center"/>
              <w:rPr>
                <w:sz w:val="20"/>
                <w:szCs w:val="20"/>
              </w:rPr>
            </w:pPr>
            <w:r>
              <w:rPr>
                <w:rFonts w:ascii="Calibri" w:eastAsia="Calibri" w:hAnsi="Calibri" w:cs="Calibri"/>
                <w:color w:val="595959"/>
                <w:w w:val="99"/>
                <w:sz w:val="18"/>
                <w:szCs w:val="18"/>
              </w:rPr>
              <w:t>desconocido</w:t>
            </w:r>
          </w:p>
        </w:tc>
        <w:tc>
          <w:tcPr>
            <w:tcW w:w="0" w:type="dxa"/>
            <w:vAlign w:val="bottom"/>
          </w:tcPr>
          <w:p w14:paraId="78AE9785" w14:textId="77777777" w:rsidR="00EF26BC" w:rsidRDefault="00EF26BC">
            <w:pPr>
              <w:rPr>
                <w:sz w:val="1"/>
                <w:szCs w:val="1"/>
              </w:rPr>
            </w:pPr>
          </w:p>
        </w:tc>
      </w:tr>
      <w:tr w:rsidR="00EF26BC" w14:paraId="78AE9790" w14:textId="77777777">
        <w:trPr>
          <w:trHeight w:val="242"/>
        </w:trPr>
        <w:tc>
          <w:tcPr>
            <w:tcW w:w="960" w:type="dxa"/>
            <w:vAlign w:val="bottom"/>
          </w:tcPr>
          <w:p w14:paraId="78AE9787" w14:textId="77777777" w:rsidR="00EF26BC" w:rsidRDefault="00343DF1">
            <w:pPr>
              <w:jc w:val="center"/>
              <w:rPr>
                <w:sz w:val="20"/>
                <w:szCs w:val="20"/>
              </w:rPr>
            </w:pPr>
            <w:r>
              <w:rPr>
                <w:rFonts w:ascii="Calibri" w:eastAsia="Calibri" w:hAnsi="Calibri" w:cs="Calibri"/>
                <w:color w:val="595959"/>
                <w:w w:val="99"/>
                <w:sz w:val="18"/>
                <w:szCs w:val="18"/>
              </w:rPr>
              <w:t>17 años)</w:t>
            </w:r>
          </w:p>
        </w:tc>
        <w:tc>
          <w:tcPr>
            <w:tcW w:w="920" w:type="dxa"/>
            <w:vAlign w:val="bottom"/>
          </w:tcPr>
          <w:p w14:paraId="78AE9788" w14:textId="77777777" w:rsidR="00EF26BC" w:rsidRDefault="00EF26BC">
            <w:pPr>
              <w:rPr>
                <w:sz w:val="21"/>
                <w:szCs w:val="21"/>
              </w:rPr>
            </w:pPr>
          </w:p>
        </w:tc>
        <w:tc>
          <w:tcPr>
            <w:tcW w:w="960" w:type="dxa"/>
            <w:vAlign w:val="bottom"/>
          </w:tcPr>
          <w:p w14:paraId="78AE9789" w14:textId="77777777" w:rsidR="00EF26BC" w:rsidRDefault="00EF26BC">
            <w:pPr>
              <w:rPr>
                <w:sz w:val="21"/>
                <w:szCs w:val="21"/>
              </w:rPr>
            </w:pPr>
          </w:p>
        </w:tc>
        <w:tc>
          <w:tcPr>
            <w:tcW w:w="960" w:type="dxa"/>
            <w:vAlign w:val="bottom"/>
          </w:tcPr>
          <w:p w14:paraId="78AE978A" w14:textId="77777777" w:rsidR="00EF26BC" w:rsidRDefault="00EF26BC">
            <w:pPr>
              <w:rPr>
                <w:sz w:val="21"/>
                <w:szCs w:val="21"/>
              </w:rPr>
            </w:pPr>
          </w:p>
        </w:tc>
        <w:tc>
          <w:tcPr>
            <w:tcW w:w="960" w:type="dxa"/>
            <w:vAlign w:val="bottom"/>
          </w:tcPr>
          <w:p w14:paraId="78AE978B" w14:textId="77777777" w:rsidR="00EF26BC" w:rsidRDefault="00EF26BC">
            <w:pPr>
              <w:rPr>
                <w:sz w:val="21"/>
                <w:szCs w:val="21"/>
              </w:rPr>
            </w:pPr>
          </w:p>
        </w:tc>
        <w:tc>
          <w:tcPr>
            <w:tcW w:w="940" w:type="dxa"/>
            <w:vAlign w:val="bottom"/>
          </w:tcPr>
          <w:p w14:paraId="78AE978C" w14:textId="77777777" w:rsidR="00EF26BC" w:rsidRDefault="00EF26BC">
            <w:pPr>
              <w:rPr>
                <w:sz w:val="21"/>
                <w:szCs w:val="21"/>
              </w:rPr>
            </w:pPr>
          </w:p>
        </w:tc>
        <w:tc>
          <w:tcPr>
            <w:tcW w:w="980" w:type="dxa"/>
            <w:vAlign w:val="bottom"/>
          </w:tcPr>
          <w:p w14:paraId="78AE978D" w14:textId="77777777" w:rsidR="00EF26BC" w:rsidRDefault="00EF26BC">
            <w:pPr>
              <w:rPr>
                <w:sz w:val="21"/>
                <w:szCs w:val="21"/>
              </w:rPr>
            </w:pPr>
          </w:p>
        </w:tc>
        <w:tc>
          <w:tcPr>
            <w:tcW w:w="940" w:type="dxa"/>
            <w:vAlign w:val="bottom"/>
          </w:tcPr>
          <w:p w14:paraId="78AE978E" w14:textId="77777777" w:rsidR="00EF26BC" w:rsidRDefault="00EF26BC">
            <w:pPr>
              <w:rPr>
                <w:sz w:val="21"/>
                <w:szCs w:val="21"/>
              </w:rPr>
            </w:pPr>
          </w:p>
        </w:tc>
        <w:tc>
          <w:tcPr>
            <w:tcW w:w="0" w:type="dxa"/>
            <w:vAlign w:val="bottom"/>
          </w:tcPr>
          <w:p w14:paraId="78AE978F" w14:textId="77777777" w:rsidR="00EF26BC" w:rsidRDefault="00EF26BC">
            <w:pPr>
              <w:rPr>
                <w:sz w:val="1"/>
                <w:szCs w:val="1"/>
              </w:rPr>
            </w:pPr>
          </w:p>
        </w:tc>
      </w:tr>
    </w:tbl>
    <w:p w14:paraId="78AE9791" w14:textId="77777777" w:rsidR="00EF26BC" w:rsidRDefault="00EF26BC">
      <w:pPr>
        <w:spacing w:line="118" w:lineRule="exact"/>
        <w:rPr>
          <w:sz w:val="20"/>
          <w:szCs w:val="20"/>
        </w:rPr>
      </w:pPr>
    </w:p>
    <w:p w14:paraId="78AE9792" w14:textId="77777777" w:rsidR="00EF26BC" w:rsidRDefault="00343DF1">
      <w:pPr>
        <w:ind w:right="980"/>
        <w:jc w:val="center"/>
        <w:rPr>
          <w:sz w:val="20"/>
          <w:szCs w:val="20"/>
        </w:rPr>
      </w:pPr>
      <w:r>
        <w:rPr>
          <w:rFonts w:eastAsia="Times New Roman"/>
        </w:rPr>
        <w:t>Fuente: Elaboración propia con datos del Observatorio de Violencia de Género contra</w:t>
      </w:r>
    </w:p>
    <w:p w14:paraId="78AE9793" w14:textId="77777777" w:rsidR="00EF26BC" w:rsidRDefault="00EF26BC">
      <w:pPr>
        <w:spacing w:line="33" w:lineRule="exact"/>
        <w:rPr>
          <w:sz w:val="20"/>
          <w:szCs w:val="20"/>
        </w:rPr>
      </w:pPr>
    </w:p>
    <w:p w14:paraId="78AE9794" w14:textId="77777777" w:rsidR="00EF26BC" w:rsidRDefault="00343DF1">
      <w:pPr>
        <w:ind w:right="1000"/>
        <w:jc w:val="center"/>
        <w:rPr>
          <w:sz w:val="20"/>
          <w:szCs w:val="20"/>
        </w:rPr>
      </w:pPr>
      <w:r>
        <w:rPr>
          <w:rFonts w:eastAsia="Times New Roman"/>
        </w:rPr>
        <w:t>las Mujeres y el Acceso a la Justicia (2020).</w:t>
      </w:r>
    </w:p>
    <w:p w14:paraId="78AE9795" w14:textId="77777777" w:rsidR="00EF26BC" w:rsidRDefault="00EF26BC">
      <w:pPr>
        <w:spacing w:line="200" w:lineRule="exact"/>
        <w:rPr>
          <w:sz w:val="20"/>
          <w:szCs w:val="20"/>
        </w:rPr>
      </w:pPr>
    </w:p>
    <w:p w14:paraId="78AE9796" w14:textId="77777777" w:rsidR="00EF26BC" w:rsidRDefault="00EF26BC">
      <w:pPr>
        <w:spacing w:line="204" w:lineRule="exact"/>
        <w:rPr>
          <w:sz w:val="20"/>
          <w:szCs w:val="20"/>
        </w:rPr>
      </w:pPr>
    </w:p>
    <w:p w14:paraId="78AE9797" w14:textId="77777777" w:rsidR="00EF26BC" w:rsidRDefault="00343DF1">
      <w:pPr>
        <w:ind w:left="2280"/>
        <w:rPr>
          <w:sz w:val="20"/>
          <w:szCs w:val="20"/>
        </w:rPr>
      </w:pPr>
      <w:r>
        <w:rPr>
          <w:rFonts w:ascii="Arial" w:eastAsia="Arial" w:hAnsi="Arial" w:cs="Arial"/>
          <w:sz w:val="20"/>
          <w:szCs w:val="20"/>
        </w:rPr>
        <w:t>Anuario del Centro de Investigación y Estudios Políticos</w:t>
      </w:r>
    </w:p>
    <w:p w14:paraId="78AE9798" w14:textId="77777777" w:rsidR="00EF26BC" w:rsidRDefault="00EF26BC">
      <w:pPr>
        <w:spacing w:line="30"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tblGrid>
      <w:tr w:rsidR="00EF26BC" w14:paraId="78AE979B" w14:textId="77777777">
        <w:trPr>
          <w:trHeight w:val="278"/>
        </w:trPr>
        <w:tc>
          <w:tcPr>
            <w:tcW w:w="6940" w:type="dxa"/>
            <w:vAlign w:val="bottom"/>
          </w:tcPr>
          <w:p w14:paraId="78AE9799" w14:textId="77777777" w:rsidR="00EF26BC" w:rsidRDefault="00343DF1">
            <w:pPr>
              <w:rPr>
                <w:sz w:val="20"/>
                <w:szCs w:val="20"/>
              </w:rPr>
            </w:pPr>
            <w:r>
              <w:rPr>
                <w:rFonts w:ascii="Arial" w:eastAsia="Arial" w:hAnsi="Arial" w:cs="Arial"/>
                <w:sz w:val="20"/>
                <w:szCs w:val="20"/>
              </w:rPr>
              <w:t xml:space="preserve">Universidad de Costa Rica, 10: 89-115, 2019 ISSN: </w:t>
            </w:r>
            <w:r>
              <w:rPr>
                <w:rFonts w:ascii="Arial" w:eastAsia="Arial" w:hAnsi="Arial" w:cs="Arial"/>
                <w:sz w:val="20"/>
                <w:szCs w:val="20"/>
              </w:rPr>
              <w:t>2215-2873</w:t>
            </w:r>
          </w:p>
        </w:tc>
        <w:tc>
          <w:tcPr>
            <w:tcW w:w="1580" w:type="dxa"/>
            <w:vAlign w:val="bottom"/>
          </w:tcPr>
          <w:p w14:paraId="78AE979A" w14:textId="77777777" w:rsidR="00EF26BC" w:rsidRDefault="00343DF1">
            <w:pPr>
              <w:jc w:val="right"/>
              <w:rPr>
                <w:sz w:val="20"/>
                <w:szCs w:val="20"/>
              </w:rPr>
            </w:pPr>
            <w:r>
              <w:rPr>
                <w:rFonts w:ascii="Arial" w:eastAsia="Arial" w:hAnsi="Arial" w:cs="Arial"/>
              </w:rPr>
              <w:t>100</w:t>
            </w:r>
          </w:p>
        </w:tc>
      </w:tr>
    </w:tbl>
    <w:p w14:paraId="78AE979C" w14:textId="77777777" w:rsidR="00EF26BC" w:rsidRDefault="00EF26BC">
      <w:pPr>
        <w:sectPr w:rsidR="00EF26BC">
          <w:pgSz w:w="12240" w:h="15840"/>
          <w:pgMar w:top="714" w:right="460" w:bottom="84" w:left="1440" w:header="0" w:footer="0" w:gutter="0"/>
          <w:cols w:space="720" w:equalWidth="0">
            <w:col w:w="10340"/>
          </w:cols>
        </w:sectPr>
      </w:pPr>
    </w:p>
    <w:p w14:paraId="78AE979D" w14:textId="77777777" w:rsidR="00EF26BC" w:rsidRDefault="00343DF1">
      <w:pPr>
        <w:ind w:left="2960"/>
        <w:rPr>
          <w:sz w:val="20"/>
          <w:szCs w:val="20"/>
        </w:rPr>
      </w:pPr>
      <w:bookmarkStart w:id="12" w:name="page13"/>
      <w:bookmarkEnd w:id="12"/>
      <w:r>
        <w:rPr>
          <w:rFonts w:ascii="Arial" w:eastAsia="Arial" w:hAnsi="Arial" w:cs="Arial"/>
          <w:sz w:val="20"/>
          <w:szCs w:val="20"/>
        </w:rPr>
        <w:lastRenderedPageBreak/>
        <w:t>Violencia contra las mujeres y femicidio</w:t>
      </w:r>
    </w:p>
    <w:p w14:paraId="78AE979E" w14:textId="77777777" w:rsidR="00EF26BC" w:rsidRDefault="00EF26BC">
      <w:pPr>
        <w:spacing w:line="200" w:lineRule="exact"/>
        <w:rPr>
          <w:sz w:val="20"/>
          <w:szCs w:val="20"/>
        </w:rPr>
      </w:pPr>
    </w:p>
    <w:p w14:paraId="78AE979F" w14:textId="77777777" w:rsidR="00EF26BC" w:rsidRDefault="00EF26BC">
      <w:pPr>
        <w:spacing w:line="335" w:lineRule="exact"/>
        <w:rPr>
          <w:sz w:val="20"/>
          <w:szCs w:val="20"/>
        </w:rPr>
      </w:pPr>
    </w:p>
    <w:p w14:paraId="78AE97A0" w14:textId="77777777" w:rsidR="00EF26BC" w:rsidRDefault="00343DF1">
      <w:pPr>
        <w:spacing w:line="239" w:lineRule="auto"/>
        <w:ind w:left="820" w:right="1800"/>
        <w:jc w:val="both"/>
        <w:rPr>
          <w:sz w:val="20"/>
          <w:szCs w:val="20"/>
        </w:rPr>
      </w:pPr>
      <w:r>
        <w:rPr>
          <w:rFonts w:eastAsia="Times New Roman"/>
          <w:sz w:val="24"/>
          <w:szCs w:val="24"/>
        </w:rPr>
        <w:t>La forma en que el Estado de Costa Rica reconoce la vulnerabilidad de las mujeres de ser víctimas de femicidio es por medio de la creación de la Ley de Penalización de la Violencia</w:t>
      </w:r>
      <w:r>
        <w:rPr>
          <w:rFonts w:eastAsia="Times New Roman"/>
          <w:sz w:val="24"/>
          <w:szCs w:val="24"/>
        </w:rPr>
        <w:t xml:space="preserve"> contra las Mujeres</w:t>
      </w:r>
      <w:r>
        <w:rPr>
          <w:rFonts w:eastAsia="Times New Roman"/>
          <w:sz w:val="31"/>
          <w:szCs w:val="31"/>
          <w:vertAlign w:val="superscript"/>
        </w:rPr>
        <w:t>4</w:t>
      </w:r>
      <w:r>
        <w:rPr>
          <w:rFonts w:eastAsia="Times New Roman"/>
          <w:sz w:val="24"/>
          <w:szCs w:val="24"/>
        </w:rPr>
        <w:t xml:space="preserve">, en la cual se tipificó el femicidio, en el artículo 21, como la muerte de una mujer a manos de su cónyuge o pareja actual; esta definición fue posteriormente ampliada, tomando como base la conceptualización de violencia de </w:t>
      </w:r>
      <w:r>
        <w:rPr>
          <w:rFonts w:eastAsia="Times New Roman"/>
          <w:sz w:val="24"/>
          <w:szCs w:val="24"/>
        </w:rPr>
        <w:t>género que hace la Convención Belém do Pará, para incluir las muertes violentas de mujeres por razón de género, en donde no existe una relación de matrimonio o unión libre (novio, ex novio, ex esposo, ex compañero de unión de hecho, los que ocurren en ámbi</w:t>
      </w:r>
      <w:r>
        <w:rPr>
          <w:rFonts w:eastAsia="Times New Roman"/>
          <w:sz w:val="24"/>
          <w:szCs w:val="24"/>
        </w:rPr>
        <w:t>to público, hermano, hijo, padre, por ataque sexual, entre otros) y se contabilizan en las estadísticas judiciales como femicidios ampliados.</w:t>
      </w:r>
      <w:r>
        <w:rPr>
          <w:rFonts w:eastAsia="Times New Roman"/>
          <w:sz w:val="31"/>
          <w:szCs w:val="31"/>
          <w:vertAlign w:val="superscript"/>
        </w:rPr>
        <w:t>5</w:t>
      </w:r>
    </w:p>
    <w:p w14:paraId="78AE97A1" w14:textId="77777777" w:rsidR="00EF26BC" w:rsidRDefault="00EF26BC">
      <w:pPr>
        <w:spacing w:line="129" w:lineRule="exact"/>
        <w:rPr>
          <w:sz w:val="20"/>
          <w:szCs w:val="20"/>
        </w:rPr>
      </w:pPr>
    </w:p>
    <w:p w14:paraId="78AE97A2" w14:textId="77777777" w:rsidR="00EF26BC" w:rsidRDefault="00343DF1">
      <w:pPr>
        <w:spacing w:line="247" w:lineRule="auto"/>
        <w:ind w:left="820" w:right="1800"/>
        <w:jc w:val="both"/>
        <w:rPr>
          <w:sz w:val="20"/>
          <w:szCs w:val="20"/>
        </w:rPr>
      </w:pPr>
      <w:r>
        <w:rPr>
          <w:rFonts w:eastAsia="Times New Roman"/>
          <w:sz w:val="24"/>
          <w:szCs w:val="24"/>
        </w:rPr>
        <w:t>Es importante señalar que esta ley no solo tipifica como delito el femicidio, sino otras formas de control y vio</w:t>
      </w:r>
      <w:r>
        <w:rPr>
          <w:rFonts w:eastAsia="Times New Roman"/>
          <w:sz w:val="24"/>
          <w:szCs w:val="24"/>
        </w:rPr>
        <w:t xml:space="preserve">lencia contra las mujeres que el sistema patriarcal ha reproducido, como son el maltrato, amenazas, ofensas a la dignidad, incumplimiento de medida de protección y daño patrimonial. Delitos, que como se puede observar en el </w:t>
      </w:r>
      <w:r>
        <w:rPr>
          <w:rFonts w:eastAsia="Times New Roman"/>
          <w:b/>
          <w:bCs/>
          <w:sz w:val="24"/>
          <w:szCs w:val="24"/>
        </w:rPr>
        <w:t>gráfico N°5</w:t>
      </w:r>
      <w:r>
        <w:rPr>
          <w:rFonts w:eastAsia="Times New Roman"/>
          <w:sz w:val="24"/>
          <w:szCs w:val="24"/>
        </w:rPr>
        <w:t>, son denunciados por</w:t>
      </w:r>
      <w:r>
        <w:rPr>
          <w:rFonts w:eastAsia="Times New Roman"/>
          <w:sz w:val="24"/>
          <w:szCs w:val="24"/>
        </w:rPr>
        <w:t xml:space="preserve"> las mujeres de manera considerable.</w:t>
      </w:r>
    </w:p>
    <w:p w14:paraId="78AE97A3" w14:textId="77777777" w:rsidR="00EF26BC" w:rsidRDefault="00343DF1">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78AE9C3F" wp14:editId="78AE9C40">
                <wp:simplePos x="0" y="0"/>
                <wp:positionH relativeFrom="column">
                  <wp:posOffset>523875</wp:posOffset>
                </wp:positionH>
                <wp:positionV relativeFrom="paragraph">
                  <wp:posOffset>3831590</wp:posOffset>
                </wp:positionV>
                <wp:extent cx="1828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F29B95A" id="Shap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1.25pt,301.7pt" to="185.25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" o:allowincell="f" filled="t" strokeweight=".72pt">
                <v:stroke joinstyle="miter"/>
                <o:lock v:ext="edit" shapetype="f"/>
              </v:line>
            </w:pict>
          </mc:Fallback>
        </mc:AlternateContent>
      </w:r>
    </w:p>
    <w:p w14:paraId="78AE97A4" w14:textId="77777777" w:rsidR="00EF26BC" w:rsidRDefault="00EF26BC">
      <w:pPr>
        <w:spacing w:line="200" w:lineRule="exact"/>
        <w:rPr>
          <w:sz w:val="20"/>
          <w:szCs w:val="20"/>
        </w:rPr>
      </w:pPr>
    </w:p>
    <w:p w14:paraId="78AE97A5" w14:textId="77777777" w:rsidR="00EF26BC" w:rsidRDefault="00EF26BC">
      <w:pPr>
        <w:spacing w:line="200" w:lineRule="exact"/>
        <w:rPr>
          <w:sz w:val="20"/>
          <w:szCs w:val="20"/>
        </w:rPr>
      </w:pPr>
    </w:p>
    <w:p w14:paraId="78AE97A6" w14:textId="77777777" w:rsidR="00EF26BC" w:rsidRDefault="00EF26BC">
      <w:pPr>
        <w:spacing w:line="200" w:lineRule="exact"/>
        <w:rPr>
          <w:sz w:val="20"/>
          <w:szCs w:val="20"/>
        </w:rPr>
      </w:pPr>
    </w:p>
    <w:p w14:paraId="78AE97A7" w14:textId="77777777" w:rsidR="00EF26BC" w:rsidRDefault="00EF26BC">
      <w:pPr>
        <w:spacing w:line="200" w:lineRule="exact"/>
        <w:rPr>
          <w:sz w:val="20"/>
          <w:szCs w:val="20"/>
        </w:rPr>
      </w:pPr>
    </w:p>
    <w:p w14:paraId="78AE97A8" w14:textId="77777777" w:rsidR="00EF26BC" w:rsidRDefault="00EF26BC">
      <w:pPr>
        <w:spacing w:line="200" w:lineRule="exact"/>
        <w:rPr>
          <w:sz w:val="20"/>
          <w:szCs w:val="20"/>
        </w:rPr>
      </w:pPr>
    </w:p>
    <w:p w14:paraId="78AE97A9" w14:textId="77777777" w:rsidR="00EF26BC" w:rsidRDefault="00EF26BC">
      <w:pPr>
        <w:spacing w:line="200" w:lineRule="exact"/>
        <w:rPr>
          <w:sz w:val="20"/>
          <w:szCs w:val="20"/>
        </w:rPr>
      </w:pPr>
    </w:p>
    <w:p w14:paraId="78AE97AA" w14:textId="77777777" w:rsidR="00EF26BC" w:rsidRDefault="00EF26BC">
      <w:pPr>
        <w:spacing w:line="200" w:lineRule="exact"/>
        <w:rPr>
          <w:sz w:val="20"/>
          <w:szCs w:val="20"/>
        </w:rPr>
      </w:pPr>
    </w:p>
    <w:p w14:paraId="78AE97AB" w14:textId="77777777" w:rsidR="00EF26BC" w:rsidRDefault="00EF26BC">
      <w:pPr>
        <w:spacing w:line="200" w:lineRule="exact"/>
        <w:rPr>
          <w:sz w:val="20"/>
          <w:szCs w:val="20"/>
        </w:rPr>
      </w:pPr>
    </w:p>
    <w:p w14:paraId="78AE97AC" w14:textId="77777777" w:rsidR="00EF26BC" w:rsidRDefault="00EF26BC">
      <w:pPr>
        <w:spacing w:line="200" w:lineRule="exact"/>
        <w:rPr>
          <w:sz w:val="20"/>
          <w:szCs w:val="20"/>
        </w:rPr>
      </w:pPr>
    </w:p>
    <w:p w14:paraId="78AE97AD" w14:textId="77777777" w:rsidR="00EF26BC" w:rsidRDefault="00EF26BC">
      <w:pPr>
        <w:spacing w:line="200" w:lineRule="exact"/>
        <w:rPr>
          <w:sz w:val="20"/>
          <w:szCs w:val="20"/>
        </w:rPr>
      </w:pPr>
    </w:p>
    <w:p w14:paraId="78AE97AE" w14:textId="77777777" w:rsidR="00EF26BC" w:rsidRDefault="00EF26BC">
      <w:pPr>
        <w:spacing w:line="200" w:lineRule="exact"/>
        <w:rPr>
          <w:sz w:val="20"/>
          <w:szCs w:val="20"/>
        </w:rPr>
      </w:pPr>
    </w:p>
    <w:p w14:paraId="78AE97AF" w14:textId="77777777" w:rsidR="00EF26BC" w:rsidRDefault="00EF26BC">
      <w:pPr>
        <w:spacing w:line="200" w:lineRule="exact"/>
        <w:rPr>
          <w:sz w:val="20"/>
          <w:szCs w:val="20"/>
        </w:rPr>
      </w:pPr>
    </w:p>
    <w:p w14:paraId="78AE97B0" w14:textId="77777777" w:rsidR="00EF26BC" w:rsidRDefault="00EF26BC">
      <w:pPr>
        <w:spacing w:line="200" w:lineRule="exact"/>
        <w:rPr>
          <w:sz w:val="20"/>
          <w:szCs w:val="20"/>
        </w:rPr>
      </w:pPr>
    </w:p>
    <w:p w14:paraId="78AE97B1" w14:textId="77777777" w:rsidR="00EF26BC" w:rsidRDefault="00EF26BC">
      <w:pPr>
        <w:spacing w:line="200" w:lineRule="exact"/>
        <w:rPr>
          <w:sz w:val="20"/>
          <w:szCs w:val="20"/>
        </w:rPr>
      </w:pPr>
    </w:p>
    <w:p w14:paraId="78AE97B2" w14:textId="77777777" w:rsidR="00EF26BC" w:rsidRDefault="00EF26BC">
      <w:pPr>
        <w:spacing w:line="200" w:lineRule="exact"/>
        <w:rPr>
          <w:sz w:val="20"/>
          <w:szCs w:val="20"/>
        </w:rPr>
      </w:pPr>
    </w:p>
    <w:p w14:paraId="78AE97B3" w14:textId="77777777" w:rsidR="00EF26BC" w:rsidRDefault="00EF26BC">
      <w:pPr>
        <w:spacing w:line="200" w:lineRule="exact"/>
        <w:rPr>
          <w:sz w:val="20"/>
          <w:szCs w:val="20"/>
        </w:rPr>
      </w:pPr>
    </w:p>
    <w:p w14:paraId="78AE97B4" w14:textId="77777777" w:rsidR="00EF26BC" w:rsidRDefault="00EF26BC">
      <w:pPr>
        <w:spacing w:line="200" w:lineRule="exact"/>
        <w:rPr>
          <w:sz w:val="20"/>
          <w:szCs w:val="20"/>
        </w:rPr>
      </w:pPr>
    </w:p>
    <w:p w14:paraId="78AE97B5" w14:textId="77777777" w:rsidR="00EF26BC" w:rsidRDefault="00EF26BC">
      <w:pPr>
        <w:spacing w:line="200" w:lineRule="exact"/>
        <w:rPr>
          <w:sz w:val="20"/>
          <w:szCs w:val="20"/>
        </w:rPr>
      </w:pPr>
    </w:p>
    <w:p w14:paraId="78AE97B6" w14:textId="77777777" w:rsidR="00EF26BC" w:rsidRDefault="00EF26BC">
      <w:pPr>
        <w:spacing w:line="200" w:lineRule="exact"/>
        <w:rPr>
          <w:sz w:val="20"/>
          <w:szCs w:val="20"/>
        </w:rPr>
      </w:pPr>
    </w:p>
    <w:p w14:paraId="78AE97B7" w14:textId="77777777" w:rsidR="00EF26BC" w:rsidRDefault="00EF26BC">
      <w:pPr>
        <w:spacing w:line="200" w:lineRule="exact"/>
        <w:rPr>
          <w:sz w:val="20"/>
          <w:szCs w:val="20"/>
        </w:rPr>
      </w:pPr>
    </w:p>
    <w:p w14:paraId="78AE97B8" w14:textId="77777777" w:rsidR="00EF26BC" w:rsidRDefault="00EF26BC">
      <w:pPr>
        <w:spacing w:line="200" w:lineRule="exact"/>
        <w:rPr>
          <w:sz w:val="20"/>
          <w:szCs w:val="20"/>
        </w:rPr>
      </w:pPr>
    </w:p>
    <w:p w14:paraId="78AE97B9" w14:textId="77777777" w:rsidR="00EF26BC" w:rsidRDefault="00EF26BC">
      <w:pPr>
        <w:spacing w:line="200" w:lineRule="exact"/>
        <w:rPr>
          <w:sz w:val="20"/>
          <w:szCs w:val="20"/>
        </w:rPr>
      </w:pPr>
    </w:p>
    <w:p w14:paraId="78AE97BA" w14:textId="77777777" w:rsidR="00EF26BC" w:rsidRDefault="00EF26BC">
      <w:pPr>
        <w:spacing w:line="200" w:lineRule="exact"/>
        <w:rPr>
          <w:sz w:val="20"/>
          <w:szCs w:val="20"/>
        </w:rPr>
      </w:pPr>
    </w:p>
    <w:p w14:paraId="78AE97BB" w14:textId="77777777" w:rsidR="00EF26BC" w:rsidRDefault="00EF26BC">
      <w:pPr>
        <w:spacing w:line="200" w:lineRule="exact"/>
        <w:rPr>
          <w:sz w:val="20"/>
          <w:szCs w:val="20"/>
        </w:rPr>
      </w:pPr>
    </w:p>
    <w:p w14:paraId="78AE97BC" w14:textId="77777777" w:rsidR="00EF26BC" w:rsidRDefault="00EF26BC">
      <w:pPr>
        <w:spacing w:line="200" w:lineRule="exact"/>
        <w:rPr>
          <w:sz w:val="20"/>
          <w:szCs w:val="20"/>
        </w:rPr>
      </w:pPr>
    </w:p>
    <w:p w14:paraId="78AE97BD" w14:textId="77777777" w:rsidR="00EF26BC" w:rsidRDefault="00EF26BC">
      <w:pPr>
        <w:spacing w:line="200" w:lineRule="exact"/>
        <w:rPr>
          <w:sz w:val="20"/>
          <w:szCs w:val="20"/>
        </w:rPr>
      </w:pPr>
    </w:p>
    <w:p w14:paraId="78AE97BE" w14:textId="77777777" w:rsidR="00EF26BC" w:rsidRDefault="00EF26BC">
      <w:pPr>
        <w:spacing w:line="200" w:lineRule="exact"/>
        <w:rPr>
          <w:sz w:val="20"/>
          <w:szCs w:val="20"/>
        </w:rPr>
      </w:pPr>
    </w:p>
    <w:p w14:paraId="78AE97BF" w14:textId="77777777" w:rsidR="00EF26BC" w:rsidRDefault="00EF26BC">
      <w:pPr>
        <w:spacing w:line="200" w:lineRule="exact"/>
        <w:rPr>
          <w:sz w:val="20"/>
          <w:szCs w:val="20"/>
        </w:rPr>
      </w:pPr>
    </w:p>
    <w:p w14:paraId="78AE97C0" w14:textId="77777777" w:rsidR="00EF26BC" w:rsidRDefault="00EF26BC">
      <w:pPr>
        <w:spacing w:line="200" w:lineRule="exact"/>
        <w:rPr>
          <w:sz w:val="20"/>
          <w:szCs w:val="20"/>
        </w:rPr>
      </w:pPr>
    </w:p>
    <w:p w14:paraId="78AE97C1" w14:textId="77777777" w:rsidR="00EF26BC" w:rsidRDefault="00EF26BC">
      <w:pPr>
        <w:spacing w:line="311" w:lineRule="exact"/>
        <w:rPr>
          <w:sz w:val="20"/>
          <w:szCs w:val="20"/>
        </w:rPr>
      </w:pPr>
    </w:p>
    <w:p w14:paraId="78AE97C2" w14:textId="77777777" w:rsidR="00EF26BC" w:rsidRDefault="00343DF1">
      <w:pPr>
        <w:numPr>
          <w:ilvl w:val="0"/>
          <w:numId w:val="7"/>
        </w:numPr>
        <w:tabs>
          <w:tab w:val="left" w:pos="943"/>
        </w:tabs>
        <w:spacing w:line="230" w:lineRule="auto"/>
        <w:ind w:left="820" w:right="1780" w:firstLine="6"/>
        <w:jc w:val="both"/>
        <w:rPr>
          <w:rFonts w:eastAsia="Times New Roman"/>
          <w:sz w:val="26"/>
          <w:szCs w:val="26"/>
          <w:vertAlign w:val="superscript"/>
        </w:rPr>
      </w:pPr>
      <w:r>
        <w:rPr>
          <w:rFonts w:eastAsia="Times New Roman"/>
          <w:sz w:val="20"/>
          <w:szCs w:val="20"/>
        </w:rPr>
        <w:t xml:space="preserve">La Ley de Penalización de Violencia contra las Mujeres (Nº 8589) se aprueba en la Asamblea Legislativa el 12 de abril de 2007 y se envía a la Presidencia de la República el 25 de </w:t>
      </w:r>
      <w:r>
        <w:rPr>
          <w:rFonts w:eastAsia="Times New Roman"/>
          <w:sz w:val="20"/>
          <w:szCs w:val="20"/>
        </w:rPr>
        <w:t>abril de ese mismo año.</w:t>
      </w:r>
    </w:p>
    <w:p w14:paraId="78AE97C3" w14:textId="77777777" w:rsidR="00EF26BC" w:rsidRDefault="00EF26BC">
      <w:pPr>
        <w:spacing w:line="1" w:lineRule="exact"/>
        <w:rPr>
          <w:rFonts w:eastAsia="Times New Roman"/>
          <w:sz w:val="26"/>
          <w:szCs w:val="26"/>
          <w:vertAlign w:val="superscript"/>
        </w:rPr>
      </w:pPr>
    </w:p>
    <w:p w14:paraId="78AE97C4" w14:textId="77777777" w:rsidR="00EF26BC" w:rsidRDefault="00343DF1">
      <w:pPr>
        <w:spacing w:line="215" w:lineRule="auto"/>
        <w:ind w:left="820" w:right="1780"/>
        <w:jc w:val="both"/>
        <w:rPr>
          <w:rFonts w:eastAsia="Times New Roman"/>
          <w:sz w:val="26"/>
          <w:szCs w:val="26"/>
          <w:vertAlign w:val="superscript"/>
        </w:rPr>
      </w:pPr>
      <w:r>
        <w:rPr>
          <w:rFonts w:ascii="Calibri" w:eastAsia="Calibri" w:hAnsi="Calibri" w:cs="Calibri"/>
          <w:sz w:val="31"/>
          <w:szCs w:val="31"/>
          <w:vertAlign w:val="superscript"/>
        </w:rPr>
        <w:t>5</w:t>
      </w:r>
      <w:r>
        <w:rPr>
          <w:rFonts w:eastAsia="Times New Roman"/>
          <w:sz w:val="20"/>
          <w:szCs w:val="20"/>
        </w:rPr>
        <w:t xml:space="preserve"> Es importante destacar, que si bien el uso del concepto permite visibilizar la muerte de mujeres por su condición de género, esto tiene una intencionalidad política, ya que estos casos son procesados bajo otras tipología penales,</w:t>
      </w:r>
      <w:r>
        <w:rPr>
          <w:rFonts w:eastAsia="Times New Roman"/>
          <w:sz w:val="20"/>
          <w:szCs w:val="20"/>
        </w:rPr>
        <w:t xml:space="preserve"> como homicidio calificado u homicidio simple.</w:t>
      </w:r>
    </w:p>
    <w:p w14:paraId="78AE97C5" w14:textId="77777777" w:rsidR="00EF26BC" w:rsidRDefault="00EF26BC">
      <w:pPr>
        <w:spacing w:line="200" w:lineRule="exact"/>
        <w:rPr>
          <w:sz w:val="20"/>
          <w:szCs w:val="20"/>
        </w:rPr>
      </w:pPr>
    </w:p>
    <w:p w14:paraId="78AE97C6" w14:textId="77777777" w:rsidR="00EF26BC" w:rsidRDefault="00EF26BC">
      <w:pPr>
        <w:spacing w:line="347"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7CA" w14:textId="77777777">
        <w:trPr>
          <w:trHeight w:val="240"/>
        </w:trPr>
        <w:tc>
          <w:tcPr>
            <w:tcW w:w="6920" w:type="dxa"/>
            <w:vAlign w:val="bottom"/>
          </w:tcPr>
          <w:p w14:paraId="78AE97C7"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7C8" w14:textId="77777777" w:rsidR="00EF26BC" w:rsidRDefault="00343DF1">
            <w:pPr>
              <w:jc w:val="right"/>
              <w:rPr>
                <w:sz w:val="20"/>
                <w:szCs w:val="20"/>
              </w:rPr>
            </w:pPr>
            <w:r>
              <w:rPr>
                <w:rFonts w:ascii="Arial" w:eastAsia="Arial" w:hAnsi="Arial" w:cs="Arial"/>
              </w:rPr>
              <w:t>101</w:t>
            </w:r>
          </w:p>
        </w:tc>
        <w:tc>
          <w:tcPr>
            <w:tcW w:w="0" w:type="dxa"/>
            <w:vAlign w:val="bottom"/>
          </w:tcPr>
          <w:p w14:paraId="78AE97C9" w14:textId="77777777" w:rsidR="00EF26BC" w:rsidRDefault="00EF26BC">
            <w:pPr>
              <w:rPr>
                <w:sz w:val="1"/>
                <w:szCs w:val="1"/>
              </w:rPr>
            </w:pPr>
          </w:p>
        </w:tc>
      </w:tr>
      <w:tr w:rsidR="00EF26BC" w14:paraId="78AE97CE" w14:textId="77777777">
        <w:trPr>
          <w:trHeight w:val="260"/>
        </w:trPr>
        <w:tc>
          <w:tcPr>
            <w:tcW w:w="6920" w:type="dxa"/>
            <w:vAlign w:val="bottom"/>
          </w:tcPr>
          <w:p w14:paraId="78AE97CB"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7CC" w14:textId="77777777" w:rsidR="00EF26BC" w:rsidRDefault="00EF26BC"/>
        </w:tc>
        <w:tc>
          <w:tcPr>
            <w:tcW w:w="0" w:type="dxa"/>
            <w:vAlign w:val="bottom"/>
          </w:tcPr>
          <w:p w14:paraId="78AE97CD" w14:textId="77777777" w:rsidR="00EF26BC" w:rsidRDefault="00EF26BC">
            <w:pPr>
              <w:rPr>
                <w:sz w:val="1"/>
                <w:szCs w:val="1"/>
              </w:rPr>
            </w:pPr>
          </w:p>
        </w:tc>
      </w:tr>
    </w:tbl>
    <w:p w14:paraId="78AE97CF" w14:textId="77777777" w:rsidR="00EF26BC" w:rsidRDefault="00EF26BC">
      <w:pPr>
        <w:sectPr w:rsidR="00EF26BC">
          <w:pgSz w:w="12240" w:h="15840"/>
          <w:pgMar w:top="714" w:right="480" w:bottom="121" w:left="1440" w:header="0" w:footer="0" w:gutter="0"/>
          <w:cols w:space="720" w:equalWidth="0">
            <w:col w:w="10320"/>
          </w:cols>
        </w:sectPr>
      </w:pPr>
    </w:p>
    <w:p w14:paraId="78AE97D0" w14:textId="77777777" w:rsidR="00EF26BC" w:rsidRDefault="00343DF1">
      <w:pPr>
        <w:ind w:left="3700"/>
        <w:rPr>
          <w:sz w:val="20"/>
          <w:szCs w:val="20"/>
        </w:rPr>
      </w:pPr>
      <w:bookmarkStart w:id="13" w:name="page14"/>
      <w:bookmarkEnd w:id="13"/>
      <w:r>
        <w:rPr>
          <w:rFonts w:ascii="Arial" w:eastAsia="Arial" w:hAnsi="Arial" w:cs="Arial"/>
          <w:sz w:val="20"/>
          <w:szCs w:val="20"/>
        </w:rPr>
        <w:lastRenderedPageBreak/>
        <w:t>Marcela Piedra Durán</w:t>
      </w:r>
    </w:p>
    <w:p w14:paraId="78AE97D1" w14:textId="77777777" w:rsidR="00EF26BC" w:rsidRDefault="00EF26BC">
      <w:pPr>
        <w:spacing w:line="200" w:lineRule="exact"/>
        <w:rPr>
          <w:sz w:val="20"/>
          <w:szCs w:val="20"/>
        </w:rPr>
      </w:pPr>
    </w:p>
    <w:p w14:paraId="78AE97D2" w14:textId="77777777" w:rsidR="00EF26BC" w:rsidRDefault="00EF26BC">
      <w:pPr>
        <w:spacing w:line="331" w:lineRule="exact"/>
        <w:rPr>
          <w:sz w:val="20"/>
          <w:szCs w:val="20"/>
        </w:rPr>
      </w:pPr>
    </w:p>
    <w:p w14:paraId="78AE97D3" w14:textId="77777777" w:rsidR="00EF26BC" w:rsidRDefault="00343DF1">
      <w:pPr>
        <w:ind w:right="1000"/>
        <w:jc w:val="center"/>
        <w:rPr>
          <w:sz w:val="20"/>
          <w:szCs w:val="20"/>
        </w:rPr>
      </w:pPr>
      <w:r>
        <w:rPr>
          <w:rFonts w:eastAsia="Times New Roman"/>
          <w:b/>
          <w:bCs/>
        </w:rPr>
        <w:t>Gráfico N°5.</w:t>
      </w:r>
    </w:p>
    <w:p w14:paraId="78AE97D4" w14:textId="77777777" w:rsidR="00EF26BC" w:rsidRDefault="00EF26BC">
      <w:pPr>
        <w:spacing w:line="34" w:lineRule="exact"/>
        <w:rPr>
          <w:sz w:val="20"/>
          <w:szCs w:val="20"/>
        </w:rPr>
      </w:pPr>
    </w:p>
    <w:p w14:paraId="78AE97D5" w14:textId="77777777" w:rsidR="00EF26BC" w:rsidRDefault="00343DF1">
      <w:pPr>
        <w:ind w:right="1000"/>
        <w:jc w:val="center"/>
        <w:rPr>
          <w:sz w:val="20"/>
          <w:szCs w:val="20"/>
        </w:rPr>
      </w:pPr>
      <w:r>
        <w:rPr>
          <w:rFonts w:eastAsia="Times New Roman"/>
          <w:b/>
          <w:bCs/>
        </w:rPr>
        <w:t xml:space="preserve">Cantidad de casos </w:t>
      </w:r>
      <w:r>
        <w:rPr>
          <w:rFonts w:eastAsia="Times New Roman"/>
          <w:b/>
          <w:bCs/>
        </w:rPr>
        <w:t>netos entrados en las Fiscalías Penales de Adultos por concepto</w:t>
      </w:r>
    </w:p>
    <w:p w14:paraId="78AE97D6" w14:textId="77777777" w:rsidR="00EF26BC" w:rsidRDefault="00343DF1">
      <w:pPr>
        <w:ind w:right="1000"/>
        <w:jc w:val="center"/>
        <w:rPr>
          <w:sz w:val="20"/>
          <w:szCs w:val="20"/>
        </w:rPr>
      </w:pPr>
      <w:r>
        <w:rPr>
          <w:rFonts w:eastAsia="Times New Roman"/>
          <w:b/>
          <w:bCs/>
        </w:rPr>
        <w:t>de delitos de la Ley de Penalización de Violencia contra la Mujer (LPVCM).</w:t>
      </w:r>
    </w:p>
    <w:p w14:paraId="78AE97D7" w14:textId="77777777" w:rsidR="00EF26BC" w:rsidRDefault="00EF26BC">
      <w:pPr>
        <w:spacing w:line="1" w:lineRule="exact"/>
        <w:rPr>
          <w:sz w:val="20"/>
          <w:szCs w:val="20"/>
        </w:rPr>
      </w:pPr>
    </w:p>
    <w:p w14:paraId="78AE97D8" w14:textId="77777777" w:rsidR="00EF26BC" w:rsidRDefault="00343DF1">
      <w:pPr>
        <w:ind w:right="980"/>
        <w:jc w:val="center"/>
        <w:rPr>
          <w:sz w:val="20"/>
          <w:szCs w:val="20"/>
        </w:rPr>
      </w:pPr>
      <w:r>
        <w:rPr>
          <w:rFonts w:eastAsia="Times New Roman"/>
          <w:b/>
          <w:bCs/>
        </w:rPr>
        <w:t>Periodo 2014-2018</w:t>
      </w:r>
    </w:p>
    <w:p w14:paraId="78AE97D9" w14:textId="77777777" w:rsidR="00EF26BC" w:rsidRDefault="00343DF1">
      <w:pPr>
        <w:spacing w:line="20" w:lineRule="exact"/>
        <w:rPr>
          <w:sz w:val="20"/>
          <w:szCs w:val="20"/>
        </w:rPr>
      </w:pPr>
      <w:r>
        <w:rPr>
          <w:noProof/>
          <w:sz w:val="20"/>
          <w:szCs w:val="20"/>
        </w:rPr>
        <w:drawing>
          <wp:anchor distT="0" distB="0" distL="114300" distR="114300" simplePos="0" relativeHeight="251659264" behindDoc="1" locked="0" layoutInCell="0" allowOverlap="1" wp14:anchorId="78AE9C41" wp14:editId="78AE9C42">
            <wp:simplePos x="0" y="0"/>
            <wp:positionH relativeFrom="column">
              <wp:posOffset>569595</wp:posOffset>
            </wp:positionH>
            <wp:positionV relativeFrom="paragraph">
              <wp:posOffset>57785</wp:posOffset>
            </wp:positionV>
            <wp:extent cx="4803775" cy="3119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803775" cy="3119755"/>
                    </a:xfrm>
                    <a:prstGeom prst="rect">
                      <a:avLst/>
                    </a:prstGeom>
                    <a:noFill/>
                  </pic:spPr>
                </pic:pic>
              </a:graphicData>
            </a:graphic>
          </wp:anchor>
        </w:drawing>
      </w:r>
    </w:p>
    <w:p w14:paraId="78AE97DA" w14:textId="77777777" w:rsidR="00EF26BC" w:rsidRDefault="00EF26BC">
      <w:pPr>
        <w:spacing w:line="200" w:lineRule="exact"/>
        <w:rPr>
          <w:sz w:val="20"/>
          <w:szCs w:val="20"/>
        </w:rPr>
      </w:pPr>
    </w:p>
    <w:p w14:paraId="78AE97DB" w14:textId="77777777" w:rsidR="00EF26BC" w:rsidRDefault="00EF26BC">
      <w:pPr>
        <w:spacing w:line="200" w:lineRule="exact"/>
        <w:rPr>
          <w:sz w:val="20"/>
          <w:szCs w:val="20"/>
        </w:rPr>
      </w:pPr>
    </w:p>
    <w:p w14:paraId="78AE97DC" w14:textId="77777777" w:rsidR="00EF26BC" w:rsidRDefault="00EF26BC">
      <w:pPr>
        <w:spacing w:line="200" w:lineRule="exact"/>
        <w:rPr>
          <w:sz w:val="20"/>
          <w:szCs w:val="20"/>
        </w:rPr>
      </w:pPr>
    </w:p>
    <w:p w14:paraId="78AE97DD" w14:textId="77777777" w:rsidR="00EF26BC" w:rsidRDefault="00EF26BC">
      <w:pPr>
        <w:spacing w:line="200" w:lineRule="exact"/>
        <w:rPr>
          <w:sz w:val="20"/>
          <w:szCs w:val="20"/>
        </w:rPr>
      </w:pPr>
    </w:p>
    <w:p w14:paraId="78AE97DE" w14:textId="77777777" w:rsidR="00EF26BC" w:rsidRDefault="00EF26BC">
      <w:pPr>
        <w:spacing w:line="200" w:lineRule="exact"/>
        <w:rPr>
          <w:sz w:val="20"/>
          <w:szCs w:val="20"/>
        </w:rPr>
      </w:pPr>
    </w:p>
    <w:p w14:paraId="78AE97DF" w14:textId="77777777" w:rsidR="00EF26BC" w:rsidRDefault="00EF26BC">
      <w:pPr>
        <w:spacing w:line="200" w:lineRule="exact"/>
        <w:rPr>
          <w:sz w:val="20"/>
          <w:szCs w:val="20"/>
        </w:rPr>
      </w:pPr>
    </w:p>
    <w:p w14:paraId="78AE97E0" w14:textId="77777777" w:rsidR="00EF26BC" w:rsidRDefault="00EF26BC">
      <w:pPr>
        <w:spacing w:line="200" w:lineRule="exact"/>
        <w:rPr>
          <w:sz w:val="20"/>
          <w:szCs w:val="20"/>
        </w:rPr>
      </w:pPr>
    </w:p>
    <w:p w14:paraId="78AE97E1" w14:textId="77777777" w:rsidR="00EF26BC" w:rsidRDefault="00EF26BC">
      <w:pPr>
        <w:spacing w:line="200" w:lineRule="exact"/>
        <w:rPr>
          <w:sz w:val="20"/>
          <w:szCs w:val="20"/>
        </w:rPr>
      </w:pPr>
    </w:p>
    <w:p w14:paraId="78AE97E2" w14:textId="77777777" w:rsidR="00EF26BC" w:rsidRDefault="00EF26BC">
      <w:pPr>
        <w:spacing w:line="200" w:lineRule="exact"/>
        <w:rPr>
          <w:sz w:val="20"/>
          <w:szCs w:val="20"/>
        </w:rPr>
      </w:pPr>
    </w:p>
    <w:p w14:paraId="78AE97E3" w14:textId="77777777" w:rsidR="00EF26BC" w:rsidRDefault="00EF26BC">
      <w:pPr>
        <w:spacing w:line="200" w:lineRule="exact"/>
        <w:rPr>
          <w:sz w:val="20"/>
          <w:szCs w:val="20"/>
        </w:rPr>
      </w:pPr>
    </w:p>
    <w:p w14:paraId="78AE97E4" w14:textId="77777777" w:rsidR="00EF26BC" w:rsidRDefault="00EF26BC">
      <w:pPr>
        <w:spacing w:line="200" w:lineRule="exact"/>
        <w:rPr>
          <w:sz w:val="20"/>
          <w:szCs w:val="20"/>
        </w:rPr>
      </w:pPr>
    </w:p>
    <w:p w14:paraId="78AE97E5" w14:textId="77777777" w:rsidR="00EF26BC" w:rsidRDefault="00EF26BC">
      <w:pPr>
        <w:spacing w:line="200" w:lineRule="exact"/>
        <w:rPr>
          <w:sz w:val="20"/>
          <w:szCs w:val="20"/>
        </w:rPr>
      </w:pPr>
    </w:p>
    <w:p w14:paraId="78AE97E6" w14:textId="77777777" w:rsidR="00EF26BC" w:rsidRDefault="00EF26BC">
      <w:pPr>
        <w:spacing w:line="200" w:lineRule="exact"/>
        <w:rPr>
          <w:sz w:val="20"/>
          <w:szCs w:val="20"/>
        </w:rPr>
      </w:pPr>
    </w:p>
    <w:p w14:paraId="78AE97E7" w14:textId="77777777" w:rsidR="00EF26BC" w:rsidRDefault="00EF26BC">
      <w:pPr>
        <w:spacing w:line="200" w:lineRule="exact"/>
        <w:rPr>
          <w:sz w:val="20"/>
          <w:szCs w:val="20"/>
        </w:rPr>
      </w:pPr>
    </w:p>
    <w:p w14:paraId="78AE97E8" w14:textId="77777777" w:rsidR="00EF26BC" w:rsidRDefault="00EF26BC">
      <w:pPr>
        <w:spacing w:line="200" w:lineRule="exact"/>
        <w:rPr>
          <w:sz w:val="20"/>
          <w:szCs w:val="20"/>
        </w:rPr>
      </w:pPr>
    </w:p>
    <w:p w14:paraId="78AE97E9" w14:textId="77777777" w:rsidR="00EF26BC" w:rsidRDefault="00EF26BC">
      <w:pPr>
        <w:spacing w:line="200" w:lineRule="exact"/>
        <w:rPr>
          <w:sz w:val="20"/>
          <w:szCs w:val="20"/>
        </w:rPr>
      </w:pPr>
    </w:p>
    <w:p w14:paraId="78AE97EA" w14:textId="77777777" w:rsidR="00EF26BC" w:rsidRDefault="00EF26BC">
      <w:pPr>
        <w:spacing w:line="200" w:lineRule="exact"/>
        <w:rPr>
          <w:sz w:val="20"/>
          <w:szCs w:val="20"/>
        </w:rPr>
      </w:pPr>
    </w:p>
    <w:p w14:paraId="78AE97EB" w14:textId="77777777" w:rsidR="00EF26BC" w:rsidRDefault="00EF26BC">
      <w:pPr>
        <w:spacing w:line="200" w:lineRule="exact"/>
        <w:rPr>
          <w:sz w:val="20"/>
          <w:szCs w:val="20"/>
        </w:rPr>
      </w:pPr>
    </w:p>
    <w:p w14:paraId="78AE97EC" w14:textId="77777777" w:rsidR="00EF26BC" w:rsidRDefault="00EF26BC">
      <w:pPr>
        <w:spacing w:line="200" w:lineRule="exact"/>
        <w:rPr>
          <w:sz w:val="20"/>
          <w:szCs w:val="20"/>
        </w:rPr>
      </w:pPr>
    </w:p>
    <w:p w14:paraId="78AE97ED" w14:textId="77777777" w:rsidR="00EF26BC" w:rsidRDefault="00EF26BC">
      <w:pPr>
        <w:spacing w:line="200" w:lineRule="exact"/>
        <w:rPr>
          <w:sz w:val="20"/>
          <w:szCs w:val="20"/>
        </w:rPr>
      </w:pPr>
    </w:p>
    <w:p w14:paraId="78AE97EE" w14:textId="77777777" w:rsidR="00EF26BC" w:rsidRDefault="00EF26BC">
      <w:pPr>
        <w:spacing w:line="200" w:lineRule="exact"/>
        <w:rPr>
          <w:sz w:val="20"/>
          <w:szCs w:val="20"/>
        </w:rPr>
      </w:pPr>
    </w:p>
    <w:p w14:paraId="78AE97EF" w14:textId="77777777" w:rsidR="00EF26BC" w:rsidRDefault="00EF26BC">
      <w:pPr>
        <w:spacing w:line="200" w:lineRule="exact"/>
        <w:rPr>
          <w:sz w:val="20"/>
          <w:szCs w:val="20"/>
        </w:rPr>
      </w:pPr>
    </w:p>
    <w:p w14:paraId="78AE97F0" w14:textId="77777777" w:rsidR="00EF26BC" w:rsidRDefault="00EF26BC">
      <w:pPr>
        <w:spacing w:line="200" w:lineRule="exact"/>
        <w:rPr>
          <w:sz w:val="20"/>
          <w:szCs w:val="20"/>
        </w:rPr>
      </w:pPr>
    </w:p>
    <w:p w14:paraId="78AE97F1" w14:textId="77777777" w:rsidR="00EF26BC" w:rsidRDefault="00EF26BC">
      <w:pPr>
        <w:spacing w:line="200" w:lineRule="exact"/>
        <w:rPr>
          <w:sz w:val="20"/>
          <w:szCs w:val="20"/>
        </w:rPr>
      </w:pPr>
    </w:p>
    <w:p w14:paraId="78AE97F2" w14:textId="77777777" w:rsidR="00EF26BC" w:rsidRDefault="00EF26BC">
      <w:pPr>
        <w:spacing w:line="266" w:lineRule="exact"/>
        <w:rPr>
          <w:sz w:val="20"/>
          <w:szCs w:val="20"/>
        </w:rPr>
      </w:pPr>
    </w:p>
    <w:p w14:paraId="78AE97F3" w14:textId="77777777" w:rsidR="00EF26BC" w:rsidRDefault="00343DF1">
      <w:pPr>
        <w:spacing w:line="280" w:lineRule="auto"/>
        <w:ind w:left="820" w:right="2380"/>
        <w:rPr>
          <w:sz w:val="20"/>
          <w:szCs w:val="20"/>
        </w:rPr>
      </w:pPr>
      <w:r>
        <w:rPr>
          <w:rFonts w:eastAsia="Times New Roman"/>
        </w:rPr>
        <w:t xml:space="preserve">Fuente: Observatorio de Violencia de Género contra las Mujeres y el </w:t>
      </w:r>
      <w:r>
        <w:rPr>
          <w:rFonts w:eastAsia="Times New Roman"/>
        </w:rPr>
        <w:t>Acceso a la Justicia (2020).</w:t>
      </w:r>
    </w:p>
    <w:p w14:paraId="78AE97F4" w14:textId="77777777" w:rsidR="00EF26BC" w:rsidRDefault="00EF26BC">
      <w:pPr>
        <w:spacing w:line="389" w:lineRule="exact"/>
        <w:rPr>
          <w:sz w:val="20"/>
          <w:szCs w:val="20"/>
        </w:rPr>
      </w:pPr>
    </w:p>
    <w:p w14:paraId="78AE97F5" w14:textId="77777777" w:rsidR="00EF26BC" w:rsidRDefault="00343DF1">
      <w:pPr>
        <w:spacing w:line="247" w:lineRule="auto"/>
        <w:ind w:left="820" w:right="1820"/>
        <w:jc w:val="both"/>
        <w:rPr>
          <w:sz w:val="20"/>
          <w:szCs w:val="20"/>
        </w:rPr>
      </w:pPr>
      <w:r>
        <w:rPr>
          <w:rFonts w:eastAsia="Times New Roman"/>
          <w:sz w:val="24"/>
          <w:szCs w:val="24"/>
        </w:rPr>
        <w:t>Es importante destacar, que las actuaciones policiales según el motivo de violencia contra las mujeres se concentran en agresión psicológica, tipificada en la Ley de Violencia Doméstica, con la mayor cantidad de eventos, con v</w:t>
      </w:r>
      <w:r>
        <w:rPr>
          <w:rFonts w:eastAsia="Times New Roman"/>
          <w:sz w:val="24"/>
          <w:szCs w:val="24"/>
        </w:rPr>
        <w:t>alores de 30,0% (2016), 34% (2017) y 40% (2015), lo que contempla las ofensas a la dignidad, restricción a la autodeterminación y amenazas contra las mujeres. Las intervenciones por la violencia física, por la Ley de Penalización de Violencia contra la Muj</w:t>
      </w:r>
      <w:r>
        <w:rPr>
          <w:rFonts w:eastAsia="Times New Roman"/>
          <w:sz w:val="24"/>
          <w:szCs w:val="24"/>
        </w:rPr>
        <w:t xml:space="preserve">er (LPCVM) corresponden a un 27% (2016, 2017) y 17% (2015) respectivamente, incluye el maltrato y el femicidio (Ver </w:t>
      </w:r>
      <w:r>
        <w:rPr>
          <w:rFonts w:eastAsia="Times New Roman"/>
          <w:b/>
          <w:bCs/>
          <w:sz w:val="24"/>
          <w:szCs w:val="24"/>
        </w:rPr>
        <w:t>gráfico N°6</w:t>
      </w:r>
      <w:r>
        <w:rPr>
          <w:rFonts w:eastAsia="Times New Roman"/>
          <w:sz w:val="24"/>
          <w:szCs w:val="24"/>
        </w:rPr>
        <w:t>).</w:t>
      </w:r>
    </w:p>
    <w:p w14:paraId="78AE97F6" w14:textId="77777777" w:rsidR="00EF26BC" w:rsidRDefault="00EF26BC">
      <w:pPr>
        <w:spacing w:line="200" w:lineRule="exact"/>
        <w:rPr>
          <w:sz w:val="20"/>
          <w:szCs w:val="20"/>
        </w:rPr>
      </w:pPr>
    </w:p>
    <w:p w14:paraId="78AE97F7" w14:textId="77777777" w:rsidR="00EF26BC" w:rsidRDefault="00EF26BC">
      <w:pPr>
        <w:spacing w:line="200" w:lineRule="exact"/>
        <w:rPr>
          <w:sz w:val="20"/>
          <w:szCs w:val="20"/>
        </w:rPr>
      </w:pPr>
    </w:p>
    <w:p w14:paraId="78AE97F8" w14:textId="77777777" w:rsidR="00EF26BC" w:rsidRDefault="00EF26BC">
      <w:pPr>
        <w:spacing w:line="200" w:lineRule="exact"/>
        <w:rPr>
          <w:sz w:val="20"/>
          <w:szCs w:val="20"/>
        </w:rPr>
      </w:pPr>
    </w:p>
    <w:p w14:paraId="78AE97F9" w14:textId="77777777" w:rsidR="00EF26BC" w:rsidRDefault="00EF26BC">
      <w:pPr>
        <w:spacing w:line="200" w:lineRule="exact"/>
        <w:rPr>
          <w:sz w:val="20"/>
          <w:szCs w:val="20"/>
        </w:rPr>
      </w:pPr>
    </w:p>
    <w:p w14:paraId="78AE97FA" w14:textId="77777777" w:rsidR="00EF26BC" w:rsidRDefault="00EF26BC">
      <w:pPr>
        <w:spacing w:line="200" w:lineRule="exact"/>
        <w:rPr>
          <w:sz w:val="20"/>
          <w:szCs w:val="20"/>
        </w:rPr>
      </w:pPr>
    </w:p>
    <w:p w14:paraId="78AE97FB" w14:textId="77777777" w:rsidR="00EF26BC" w:rsidRDefault="00EF26BC">
      <w:pPr>
        <w:spacing w:line="200" w:lineRule="exact"/>
        <w:rPr>
          <w:sz w:val="20"/>
          <w:szCs w:val="20"/>
        </w:rPr>
      </w:pPr>
    </w:p>
    <w:p w14:paraId="78AE97FC" w14:textId="77777777" w:rsidR="00EF26BC" w:rsidRDefault="00EF26BC">
      <w:pPr>
        <w:spacing w:line="200" w:lineRule="exact"/>
        <w:rPr>
          <w:sz w:val="20"/>
          <w:szCs w:val="20"/>
        </w:rPr>
      </w:pPr>
    </w:p>
    <w:p w14:paraId="78AE97FD" w14:textId="77777777" w:rsidR="00EF26BC" w:rsidRDefault="00EF26BC">
      <w:pPr>
        <w:spacing w:line="200" w:lineRule="exact"/>
        <w:rPr>
          <w:sz w:val="20"/>
          <w:szCs w:val="20"/>
        </w:rPr>
      </w:pPr>
    </w:p>
    <w:p w14:paraId="78AE97FE" w14:textId="77777777" w:rsidR="00EF26BC" w:rsidRDefault="00EF26BC">
      <w:pPr>
        <w:spacing w:line="200" w:lineRule="exact"/>
        <w:rPr>
          <w:sz w:val="20"/>
          <w:szCs w:val="20"/>
        </w:rPr>
      </w:pPr>
    </w:p>
    <w:p w14:paraId="78AE97FF" w14:textId="77777777" w:rsidR="00EF26BC" w:rsidRDefault="00EF26BC">
      <w:pPr>
        <w:spacing w:line="200" w:lineRule="exact"/>
        <w:rPr>
          <w:sz w:val="20"/>
          <w:szCs w:val="20"/>
        </w:rPr>
      </w:pPr>
    </w:p>
    <w:p w14:paraId="78AE9800" w14:textId="77777777" w:rsidR="00EF26BC" w:rsidRDefault="00EF26BC">
      <w:pPr>
        <w:spacing w:line="200" w:lineRule="exact"/>
        <w:rPr>
          <w:sz w:val="20"/>
          <w:szCs w:val="20"/>
        </w:rPr>
      </w:pPr>
    </w:p>
    <w:p w14:paraId="78AE9801" w14:textId="77777777" w:rsidR="00EF26BC" w:rsidRDefault="00EF26BC">
      <w:pPr>
        <w:spacing w:line="200" w:lineRule="exact"/>
        <w:rPr>
          <w:sz w:val="20"/>
          <w:szCs w:val="20"/>
        </w:rPr>
      </w:pPr>
    </w:p>
    <w:p w14:paraId="78AE9802" w14:textId="77777777" w:rsidR="00EF26BC" w:rsidRDefault="00EF26BC">
      <w:pPr>
        <w:spacing w:line="200" w:lineRule="exact"/>
        <w:rPr>
          <w:sz w:val="20"/>
          <w:szCs w:val="20"/>
        </w:rPr>
      </w:pPr>
    </w:p>
    <w:p w14:paraId="78AE9803" w14:textId="77777777" w:rsidR="00EF26BC" w:rsidRDefault="00EF26BC">
      <w:pPr>
        <w:spacing w:line="200" w:lineRule="exact"/>
        <w:rPr>
          <w:sz w:val="20"/>
          <w:szCs w:val="20"/>
        </w:rPr>
      </w:pPr>
    </w:p>
    <w:p w14:paraId="78AE9804" w14:textId="77777777" w:rsidR="00EF26BC" w:rsidRDefault="00EF26BC">
      <w:pPr>
        <w:spacing w:line="200" w:lineRule="exact"/>
        <w:rPr>
          <w:sz w:val="20"/>
          <w:szCs w:val="20"/>
        </w:rPr>
      </w:pPr>
    </w:p>
    <w:p w14:paraId="78AE9805" w14:textId="77777777" w:rsidR="00EF26BC" w:rsidRDefault="00EF26BC">
      <w:pPr>
        <w:spacing w:line="200" w:lineRule="exact"/>
        <w:rPr>
          <w:sz w:val="20"/>
          <w:szCs w:val="20"/>
        </w:rPr>
      </w:pPr>
    </w:p>
    <w:p w14:paraId="78AE9806" w14:textId="77777777" w:rsidR="00EF26BC" w:rsidRDefault="00EF26BC">
      <w:pPr>
        <w:spacing w:line="200" w:lineRule="exact"/>
        <w:rPr>
          <w:sz w:val="20"/>
          <w:szCs w:val="20"/>
        </w:rPr>
      </w:pPr>
    </w:p>
    <w:p w14:paraId="78AE9807" w14:textId="77777777" w:rsidR="00EF26BC" w:rsidRDefault="00EF26BC">
      <w:pPr>
        <w:spacing w:line="393"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80B" w14:textId="77777777">
        <w:trPr>
          <w:trHeight w:val="240"/>
        </w:trPr>
        <w:tc>
          <w:tcPr>
            <w:tcW w:w="6940" w:type="dxa"/>
            <w:vAlign w:val="bottom"/>
          </w:tcPr>
          <w:p w14:paraId="78AE9808"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809" w14:textId="77777777" w:rsidR="00EF26BC" w:rsidRDefault="00343DF1">
            <w:pPr>
              <w:jc w:val="right"/>
              <w:rPr>
                <w:sz w:val="20"/>
                <w:szCs w:val="20"/>
              </w:rPr>
            </w:pPr>
            <w:r>
              <w:rPr>
                <w:rFonts w:ascii="Arial" w:eastAsia="Arial" w:hAnsi="Arial" w:cs="Arial"/>
              </w:rPr>
              <w:t>102</w:t>
            </w:r>
          </w:p>
        </w:tc>
        <w:tc>
          <w:tcPr>
            <w:tcW w:w="0" w:type="dxa"/>
            <w:vAlign w:val="bottom"/>
          </w:tcPr>
          <w:p w14:paraId="78AE980A" w14:textId="77777777" w:rsidR="00EF26BC" w:rsidRDefault="00EF26BC">
            <w:pPr>
              <w:rPr>
                <w:sz w:val="1"/>
                <w:szCs w:val="1"/>
              </w:rPr>
            </w:pPr>
          </w:p>
        </w:tc>
      </w:tr>
      <w:tr w:rsidR="00EF26BC" w14:paraId="78AE980F" w14:textId="77777777">
        <w:trPr>
          <w:trHeight w:val="270"/>
        </w:trPr>
        <w:tc>
          <w:tcPr>
            <w:tcW w:w="6940" w:type="dxa"/>
            <w:vAlign w:val="bottom"/>
          </w:tcPr>
          <w:p w14:paraId="78AE980C" w14:textId="77777777" w:rsidR="00EF26BC" w:rsidRDefault="00343DF1">
            <w:pPr>
              <w:ind w:right="1119"/>
              <w:jc w:val="center"/>
              <w:rPr>
                <w:sz w:val="20"/>
                <w:szCs w:val="20"/>
              </w:rPr>
            </w:pPr>
            <w:r>
              <w:rPr>
                <w:rFonts w:ascii="Arial" w:eastAsia="Arial" w:hAnsi="Arial" w:cs="Arial"/>
                <w:sz w:val="20"/>
                <w:szCs w:val="20"/>
              </w:rPr>
              <w:t xml:space="preserve">Universidad de Costa Rica, 10: 89-115, </w:t>
            </w:r>
            <w:r>
              <w:rPr>
                <w:rFonts w:ascii="Arial" w:eastAsia="Arial" w:hAnsi="Arial" w:cs="Arial"/>
                <w:sz w:val="20"/>
                <w:szCs w:val="20"/>
              </w:rPr>
              <w:t>2019 ISSN: 2215-2873</w:t>
            </w:r>
          </w:p>
        </w:tc>
        <w:tc>
          <w:tcPr>
            <w:tcW w:w="1580" w:type="dxa"/>
            <w:vMerge/>
            <w:vAlign w:val="bottom"/>
          </w:tcPr>
          <w:p w14:paraId="78AE980D" w14:textId="77777777" w:rsidR="00EF26BC" w:rsidRDefault="00EF26BC">
            <w:pPr>
              <w:rPr>
                <w:sz w:val="23"/>
                <w:szCs w:val="23"/>
              </w:rPr>
            </w:pPr>
          </w:p>
        </w:tc>
        <w:tc>
          <w:tcPr>
            <w:tcW w:w="0" w:type="dxa"/>
            <w:vAlign w:val="bottom"/>
          </w:tcPr>
          <w:p w14:paraId="78AE980E" w14:textId="77777777" w:rsidR="00EF26BC" w:rsidRDefault="00EF26BC">
            <w:pPr>
              <w:rPr>
                <w:sz w:val="1"/>
                <w:szCs w:val="1"/>
              </w:rPr>
            </w:pPr>
          </w:p>
        </w:tc>
      </w:tr>
    </w:tbl>
    <w:p w14:paraId="78AE9810" w14:textId="77777777" w:rsidR="00EF26BC" w:rsidRDefault="00EF26BC">
      <w:pPr>
        <w:sectPr w:rsidR="00EF26BC">
          <w:pgSz w:w="12240" w:h="15840"/>
          <w:pgMar w:top="714" w:right="460" w:bottom="112" w:left="1440" w:header="0" w:footer="0" w:gutter="0"/>
          <w:cols w:space="720" w:equalWidth="0">
            <w:col w:w="10340"/>
          </w:cols>
        </w:sectPr>
      </w:pPr>
    </w:p>
    <w:p w14:paraId="78AE9811" w14:textId="77777777" w:rsidR="00EF26BC" w:rsidRDefault="00343DF1">
      <w:pPr>
        <w:ind w:left="2960"/>
        <w:rPr>
          <w:sz w:val="20"/>
          <w:szCs w:val="20"/>
        </w:rPr>
      </w:pPr>
      <w:bookmarkStart w:id="14" w:name="page15"/>
      <w:bookmarkEnd w:id="14"/>
      <w:r>
        <w:rPr>
          <w:rFonts w:ascii="Arial" w:eastAsia="Arial" w:hAnsi="Arial" w:cs="Arial"/>
          <w:sz w:val="20"/>
          <w:szCs w:val="20"/>
        </w:rPr>
        <w:lastRenderedPageBreak/>
        <w:t>Violencia contra las mujeres y femicidio</w:t>
      </w:r>
    </w:p>
    <w:p w14:paraId="78AE9812" w14:textId="77777777" w:rsidR="00EF26BC" w:rsidRDefault="00EF26BC">
      <w:pPr>
        <w:spacing w:line="200" w:lineRule="exact"/>
        <w:rPr>
          <w:sz w:val="20"/>
          <w:szCs w:val="20"/>
        </w:rPr>
      </w:pPr>
    </w:p>
    <w:p w14:paraId="78AE9813" w14:textId="77777777" w:rsidR="00EF26BC" w:rsidRDefault="00EF26BC">
      <w:pPr>
        <w:spacing w:line="200" w:lineRule="exact"/>
        <w:rPr>
          <w:sz w:val="20"/>
          <w:szCs w:val="20"/>
        </w:rPr>
      </w:pPr>
    </w:p>
    <w:p w14:paraId="78AE9814" w14:textId="77777777" w:rsidR="00EF26BC" w:rsidRDefault="00EF26BC">
      <w:pPr>
        <w:spacing w:line="200" w:lineRule="exact"/>
        <w:rPr>
          <w:sz w:val="20"/>
          <w:szCs w:val="20"/>
        </w:rPr>
      </w:pPr>
    </w:p>
    <w:p w14:paraId="78AE9815" w14:textId="77777777" w:rsidR="00EF26BC" w:rsidRDefault="00EF26BC">
      <w:pPr>
        <w:spacing w:line="205" w:lineRule="exact"/>
        <w:rPr>
          <w:sz w:val="20"/>
          <w:szCs w:val="20"/>
        </w:rPr>
      </w:pPr>
    </w:p>
    <w:p w14:paraId="78AE9816" w14:textId="77777777" w:rsidR="00EF26BC" w:rsidRDefault="00343DF1">
      <w:pPr>
        <w:ind w:right="980"/>
        <w:jc w:val="center"/>
        <w:rPr>
          <w:sz w:val="20"/>
          <w:szCs w:val="20"/>
        </w:rPr>
      </w:pPr>
      <w:r>
        <w:rPr>
          <w:rFonts w:eastAsia="Times New Roman"/>
          <w:b/>
          <w:bCs/>
          <w:sz w:val="24"/>
          <w:szCs w:val="24"/>
        </w:rPr>
        <w:t>Gráfico N°6.</w:t>
      </w:r>
    </w:p>
    <w:p w14:paraId="78AE9817" w14:textId="77777777" w:rsidR="00EF26BC" w:rsidRDefault="00EF26BC">
      <w:pPr>
        <w:spacing w:line="36" w:lineRule="exact"/>
        <w:rPr>
          <w:sz w:val="20"/>
          <w:szCs w:val="20"/>
        </w:rPr>
      </w:pPr>
    </w:p>
    <w:p w14:paraId="78AE9818" w14:textId="77777777" w:rsidR="00EF26BC" w:rsidRDefault="00343DF1">
      <w:pPr>
        <w:ind w:right="980"/>
        <w:jc w:val="center"/>
        <w:rPr>
          <w:sz w:val="20"/>
          <w:szCs w:val="20"/>
        </w:rPr>
      </w:pPr>
      <w:r>
        <w:rPr>
          <w:rFonts w:eastAsia="Times New Roman"/>
          <w:b/>
          <w:bCs/>
          <w:sz w:val="24"/>
          <w:szCs w:val="24"/>
        </w:rPr>
        <w:t>Porcentaje de actuaciones policiales por Violencia Doméstica según motivo</w:t>
      </w:r>
    </w:p>
    <w:p w14:paraId="78AE9819" w14:textId="77777777" w:rsidR="00EF26BC" w:rsidRDefault="00EF26BC">
      <w:pPr>
        <w:spacing w:line="2" w:lineRule="exact"/>
        <w:rPr>
          <w:sz w:val="20"/>
          <w:szCs w:val="20"/>
        </w:rPr>
      </w:pPr>
    </w:p>
    <w:p w14:paraId="78AE981A" w14:textId="77777777" w:rsidR="00EF26BC" w:rsidRDefault="00343DF1">
      <w:pPr>
        <w:ind w:right="980"/>
        <w:jc w:val="center"/>
        <w:rPr>
          <w:sz w:val="20"/>
          <w:szCs w:val="20"/>
        </w:rPr>
      </w:pPr>
      <w:r>
        <w:rPr>
          <w:rFonts w:eastAsia="Times New Roman"/>
          <w:b/>
          <w:bCs/>
          <w:sz w:val="24"/>
          <w:szCs w:val="24"/>
        </w:rPr>
        <w:t>para el periodo 2015-2017</w:t>
      </w:r>
    </w:p>
    <w:p w14:paraId="78AE981B" w14:textId="77777777" w:rsidR="00EF26BC" w:rsidRDefault="00343DF1">
      <w:pPr>
        <w:spacing w:line="20" w:lineRule="exact"/>
        <w:rPr>
          <w:sz w:val="20"/>
          <w:szCs w:val="20"/>
        </w:rPr>
      </w:pPr>
      <w:r>
        <w:rPr>
          <w:noProof/>
          <w:sz w:val="20"/>
          <w:szCs w:val="20"/>
        </w:rPr>
        <w:drawing>
          <wp:anchor distT="0" distB="0" distL="114300" distR="114300" simplePos="0" relativeHeight="251660288" behindDoc="1" locked="0" layoutInCell="0" allowOverlap="1" wp14:anchorId="78AE9C43" wp14:editId="78AE9C44">
            <wp:simplePos x="0" y="0"/>
            <wp:positionH relativeFrom="column">
              <wp:posOffset>680720</wp:posOffset>
            </wp:positionH>
            <wp:positionV relativeFrom="paragraph">
              <wp:posOffset>53340</wp:posOffset>
            </wp:positionV>
            <wp:extent cx="4581525" cy="2752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581525" cy="2752725"/>
                    </a:xfrm>
                    <a:prstGeom prst="rect">
                      <a:avLst/>
                    </a:prstGeom>
                    <a:noFill/>
                  </pic:spPr>
                </pic:pic>
              </a:graphicData>
            </a:graphic>
          </wp:anchor>
        </w:drawing>
      </w:r>
    </w:p>
    <w:p w14:paraId="78AE981C" w14:textId="77777777" w:rsidR="00EF26BC" w:rsidRDefault="00EF26BC">
      <w:pPr>
        <w:spacing w:line="323" w:lineRule="exact"/>
        <w:rPr>
          <w:sz w:val="20"/>
          <w:szCs w:val="20"/>
        </w:rPr>
      </w:pPr>
    </w:p>
    <w:tbl>
      <w:tblPr>
        <w:tblW w:w="0" w:type="auto"/>
        <w:tblInd w:w="1600" w:type="dxa"/>
        <w:tblLayout w:type="fixed"/>
        <w:tblCellMar>
          <w:left w:w="0" w:type="dxa"/>
          <w:right w:w="0" w:type="dxa"/>
        </w:tblCellMar>
        <w:tblLook w:val="04A0" w:firstRow="1" w:lastRow="0" w:firstColumn="1" w:lastColumn="0" w:noHBand="0" w:noVBand="1"/>
      </w:tblPr>
      <w:tblGrid>
        <w:gridCol w:w="100"/>
        <w:gridCol w:w="1680"/>
        <w:gridCol w:w="100"/>
        <w:gridCol w:w="1300"/>
        <w:gridCol w:w="80"/>
        <w:gridCol w:w="1320"/>
        <w:gridCol w:w="100"/>
        <w:gridCol w:w="1060"/>
        <w:gridCol w:w="480"/>
        <w:gridCol w:w="20"/>
      </w:tblGrid>
      <w:tr w:rsidR="00EF26BC" w14:paraId="78AE9826" w14:textId="77777777">
        <w:trPr>
          <w:trHeight w:val="242"/>
        </w:trPr>
        <w:tc>
          <w:tcPr>
            <w:tcW w:w="1780" w:type="dxa"/>
            <w:gridSpan w:val="2"/>
            <w:vAlign w:val="bottom"/>
          </w:tcPr>
          <w:p w14:paraId="78AE981D" w14:textId="77777777" w:rsidR="00EF26BC" w:rsidRDefault="00343DF1">
            <w:pPr>
              <w:ind w:right="1389"/>
              <w:jc w:val="right"/>
              <w:rPr>
                <w:sz w:val="20"/>
                <w:szCs w:val="20"/>
              </w:rPr>
            </w:pPr>
            <w:r>
              <w:rPr>
                <w:rFonts w:ascii="Calibri" w:eastAsia="Calibri" w:hAnsi="Calibri" w:cs="Calibri"/>
                <w:color w:val="404040"/>
                <w:sz w:val="18"/>
                <w:szCs w:val="18"/>
              </w:rPr>
              <w:t>40</w:t>
            </w:r>
          </w:p>
        </w:tc>
        <w:tc>
          <w:tcPr>
            <w:tcW w:w="100" w:type="dxa"/>
            <w:vAlign w:val="bottom"/>
          </w:tcPr>
          <w:p w14:paraId="78AE981E" w14:textId="77777777" w:rsidR="00EF26BC" w:rsidRDefault="00EF26BC">
            <w:pPr>
              <w:rPr>
                <w:sz w:val="21"/>
                <w:szCs w:val="21"/>
              </w:rPr>
            </w:pPr>
          </w:p>
        </w:tc>
        <w:tc>
          <w:tcPr>
            <w:tcW w:w="1300" w:type="dxa"/>
            <w:vAlign w:val="bottom"/>
          </w:tcPr>
          <w:p w14:paraId="78AE981F" w14:textId="77777777" w:rsidR="00EF26BC" w:rsidRDefault="00EF26BC">
            <w:pPr>
              <w:rPr>
                <w:sz w:val="21"/>
                <w:szCs w:val="21"/>
              </w:rPr>
            </w:pPr>
          </w:p>
        </w:tc>
        <w:tc>
          <w:tcPr>
            <w:tcW w:w="80" w:type="dxa"/>
            <w:vAlign w:val="bottom"/>
          </w:tcPr>
          <w:p w14:paraId="78AE9820" w14:textId="77777777" w:rsidR="00EF26BC" w:rsidRDefault="00EF26BC">
            <w:pPr>
              <w:rPr>
                <w:sz w:val="21"/>
                <w:szCs w:val="21"/>
              </w:rPr>
            </w:pPr>
          </w:p>
        </w:tc>
        <w:tc>
          <w:tcPr>
            <w:tcW w:w="1320" w:type="dxa"/>
            <w:vAlign w:val="bottom"/>
          </w:tcPr>
          <w:p w14:paraId="78AE9821" w14:textId="77777777" w:rsidR="00EF26BC" w:rsidRDefault="00EF26BC">
            <w:pPr>
              <w:rPr>
                <w:sz w:val="21"/>
                <w:szCs w:val="21"/>
              </w:rPr>
            </w:pPr>
          </w:p>
        </w:tc>
        <w:tc>
          <w:tcPr>
            <w:tcW w:w="100" w:type="dxa"/>
            <w:vAlign w:val="bottom"/>
          </w:tcPr>
          <w:p w14:paraId="78AE9822" w14:textId="77777777" w:rsidR="00EF26BC" w:rsidRDefault="00EF26BC">
            <w:pPr>
              <w:rPr>
                <w:sz w:val="21"/>
                <w:szCs w:val="21"/>
              </w:rPr>
            </w:pPr>
          </w:p>
        </w:tc>
        <w:tc>
          <w:tcPr>
            <w:tcW w:w="1060" w:type="dxa"/>
            <w:vAlign w:val="bottom"/>
          </w:tcPr>
          <w:p w14:paraId="78AE9823" w14:textId="77777777" w:rsidR="00EF26BC" w:rsidRDefault="00EF26BC">
            <w:pPr>
              <w:rPr>
                <w:sz w:val="21"/>
                <w:szCs w:val="21"/>
              </w:rPr>
            </w:pPr>
          </w:p>
        </w:tc>
        <w:tc>
          <w:tcPr>
            <w:tcW w:w="480" w:type="dxa"/>
            <w:vAlign w:val="bottom"/>
          </w:tcPr>
          <w:p w14:paraId="78AE9824" w14:textId="77777777" w:rsidR="00EF26BC" w:rsidRDefault="00EF26BC">
            <w:pPr>
              <w:rPr>
                <w:sz w:val="21"/>
                <w:szCs w:val="21"/>
              </w:rPr>
            </w:pPr>
          </w:p>
        </w:tc>
        <w:tc>
          <w:tcPr>
            <w:tcW w:w="0" w:type="dxa"/>
            <w:vAlign w:val="bottom"/>
          </w:tcPr>
          <w:p w14:paraId="78AE9825" w14:textId="77777777" w:rsidR="00EF26BC" w:rsidRDefault="00EF26BC">
            <w:pPr>
              <w:rPr>
                <w:sz w:val="1"/>
                <w:szCs w:val="1"/>
              </w:rPr>
            </w:pPr>
          </w:p>
        </w:tc>
      </w:tr>
      <w:tr w:rsidR="00EF26BC" w14:paraId="78AE9830" w14:textId="77777777">
        <w:trPr>
          <w:trHeight w:val="422"/>
        </w:trPr>
        <w:tc>
          <w:tcPr>
            <w:tcW w:w="100" w:type="dxa"/>
            <w:vAlign w:val="bottom"/>
          </w:tcPr>
          <w:p w14:paraId="78AE9827" w14:textId="77777777" w:rsidR="00EF26BC" w:rsidRDefault="00EF26BC">
            <w:pPr>
              <w:rPr>
                <w:sz w:val="24"/>
                <w:szCs w:val="24"/>
              </w:rPr>
            </w:pPr>
          </w:p>
        </w:tc>
        <w:tc>
          <w:tcPr>
            <w:tcW w:w="1680" w:type="dxa"/>
            <w:vAlign w:val="bottom"/>
          </w:tcPr>
          <w:p w14:paraId="78AE9828" w14:textId="77777777" w:rsidR="00EF26BC" w:rsidRDefault="00EF26BC">
            <w:pPr>
              <w:rPr>
                <w:sz w:val="24"/>
                <w:szCs w:val="24"/>
              </w:rPr>
            </w:pPr>
          </w:p>
        </w:tc>
        <w:tc>
          <w:tcPr>
            <w:tcW w:w="100" w:type="dxa"/>
            <w:vAlign w:val="bottom"/>
          </w:tcPr>
          <w:p w14:paraId="78AE9829" w14:textId="77777777" w:rsidR="00EF26BC" w:rsidRDefault="00EF26BC">
            <w:pPr>
              <w:rPr>
                <w:sz w:val="24"/>
                <w:szCs w:val="24"/>
              </w:rPr>
            </w:pPr>
          </w:p>
        </w:tc>
        <w:tc>
          <w:tcPr>
            <w:tcW w:w="1300" w:type="dxa"/>
            <w:vAlign w:val="bottom"/>
          </w:tcPr>
          <w:p w14:paraId="78AE982A" w14:textId="77777777" w:rsidR="00EF26BC" w:rsidRDefault="00EF26BC">
            <w:pPr>
              <w:rPr>
                <w:sz w:val="24"/>
                <w:szCs w:val="24"/>
              </w:rPr>
            </w:pPr>
          </w:p>
        </w:tc>
        <w:tc>
          <w:tcPr>
            <w:tcW w:w="80" w:type="dxa"/>
            <w:vAlign w:val="bottom"/>
          </w:tcPr>
          <w:p w14:paraId="78AE982B" w14:textId="77777777" w:rsidR="00EF26BC" w:rsidRDefault="00EF26BC">
            <w:pPr>
              <w:rPr>
                <w:sz w:val="24"/>
                <w:szCs w:val="24"/>
              </w:rPr>
            </w:pPr>
          </w:p>
        </w:tc>
        <w:tc>
          <w:tcPr>
            <w:tcW w:w="1320" w:type="dxa"/>
            <w:vAlign w:val="bottom"/>
          </w:tcPr>
          <w:p w14:paraId="78AE982C" w14:textId="77777777" w:rsidR="00EF26BC" w:rsidRDefault="00EF26BC">
            <w:pPr>
              <w:rPr>
                <w:sz w:val="24"/>
                <w:szCs w:val="24"/>
              </w:rPr>
            </w:pPr>
          </w:p>
        </w:tc>
        <w:tc>
          <w:tcPr>
            <w:tcW w:w="1160" w:type="dxa"/>
            <w:gridSpan w:val="2"/>
            <w:vAlign w:val="bottom"/>
          </w:tcPr>
          <w:p w14:paraId="78AE982D" w14:textId="77777777" w:rsidR="00EF26BC" w:rsidRDefault="00343DF1">
            <w:pPr>
              <w:ind w:right="829"/>
              <w:jc w:val="right"/>
              <w:rPr>
                <w:sz w:val="20"/>
                <w:szCs w:val="20"/>
              </w:rPr>
            </w:pPr>
            <w:r>
              <w:rPr>
                <w:rFonts w:ascii="Calibri" w:eastAsia="Calibri" w:hAnsi="Calibri" w:cs="Calibri"/>
                <w:color w:val="404040"/>
                <w:sz w:val="18"/>
                <w:szCs w:val="18"/>
              </w:rPr>
              <w:t>34</w:t>
            </w:r>
          </w:p>
        </w:tc>
        <w:tc>
          <w:tcPr>
            <w:tcW w:w="480" w:type="dxa"/>
            <w:vAlign w:val="bottom"/>
          </w:tcPr>
          <w:p w14:paraId="78AE982E" w14:textId="77777777" w:rsidR="00EF26BC" w:rsidRDefault="00EF26BC">
            <w:pPr>
              <w:rPr>
                <w:sz w:val="24"/>
                <w:szCs w:val="24"/>
              </w:rPr>
            </w:pPr>
          </w:p>
        </w:tc>
        <w:tc>
          <w:tcPr>
            <w:tcW w:w="0" w:type="dxa"/>
            <w:vAlign w:val="bottom"/>
          </w:tcPr>
          <w:p w14:paraId="78AE982F" w14:textId="77777777" w:rsidR="00EF26BC" w:rsidRDefault="00EF26BC">
            <w:pPr>
              <w:rPr>
                <w:sz w:val="1"/>
                <w:szCs w:val="1"/>
              </w:rPr>
            </w:pPr>
          </w:p>
        </w:tc>
      </w:tr>
      <w:tr w:rsidR="00EF26BC" w14:paraId="78AE9838" w14:textId="77777777">
        <w:trPr>
          <w:trHeight w:val="283"/>
        </w:trPr>
        <w:tc>
          <w:tcPr>
            <w:tcW w:w="100" w:type="dxa"/>
            <w:vAlign w:val="bottom"/>
          </w:tcPr>
          <w:p w14:paraId="78AE9831" w14:textId="77777777" w:rsidR="00EF26BC" w:rsidRDefault="00EF26BC">
            <w:pPr>
              <w:rPr>
                <w:sz w:val="24"/>
                <w:szCs w:val="24"/>
              </w:rPr>
            </w:pPr>
          </w:p>
        </w:tc>
        <w:tc>
          <w:tcPr>
            <w:tcW w:w="1680" w:type="dxa"/>
            <w:vAlign w:val="bottom"/>
          </w:tcPr>
          <w:p w14:paraId="78AE9832" w14:textId="77777777" w:rsidR="00EF26BC" w:rsidRDefault="00EF26BC">
            <w:pPr>
              <w:rPr>
                <w:sz w:val="24"/>
                <w:szCs w:val="24"/>
              </w:rPr>
            </w:pPr>
          </w:p>
        </w:tc>
        <w:tc>
          <w:tcPr>
            <w:tcW w:w="1400" w:type="dxa"/>
            <w:gridSpan w:val="2"/>
            <w:vAlign w:val="bottom"/>
          </w:tcPr>
          <w:p w14:paraId="78AE9833" w14:textId="77777777" w:rsidR="00EF26BC" w:rsidRDefault="00343DF1">
            <w:pPr>
              <w:ind w:right="529"/>
              <w:jc w:val="right"/>
              <w:rPr>
                <w:sz w:val="20"/>
                <w:szCs w:val="20"/>
              </w:rPr>
            </w:pPr>
            <w:r>
              <w:rPr>
                <w:rFonts w:ascii="Calibri" w:eastAsia="Calibri" w:hAnsi="Calibri" w:cs="Calibri"/>
                <w:color w:val="404040"/>
                <w:sz w:val="18"/>
                <w:szCs w:val="18"/>
              </w:rPr>
              <w:t>30</w:t>
            </w:r>
          </w:p>
        </w:tc>
        <w:tc>
          <w:tcPr>
            <w:tcW w:w="1400" w:type="dxa"/>
            <w:gridSpan w:val="2"/>
            <w:vMerge w:val="restart"/>
            <w:vAlign w:val="bottom"/>
          </w:tcPr>
          <w:p w14:paraId="78AE9834" w14:textId="77777777" w:rsidR="00EF26BC" w:rsidRDefault="00343DF1">
            <w:pPr>
              <w:ind w:right="1109"/>
              <w:jc w:val="right"/>
              <w:rPr>
                <w:sz w:val="20"/>
                <w:szCs w:val="20"/>
              </w:rPr>
            </w:pPr>
            <w:r>
              <w:rPr>
                <w:rFonts w:ascii="Calibri" w:eastAsia="Calibri" w:hAnsi="Calibri" w:cs="Calibri"/>
                <w:color w:val="404040"/>
                <w:w w:val="98"/>
                <w:sz w:val="18"/>
                <w:szCs w:val="18"/>
              </w:rPr>
              <w:t>27</w:t>
            </w:r>
          </w:p>
        </w:tc>
        <w:tc>
          <w:tcPr>
            <w:tcW w:w="1160" w:type="dxa"/>
            <w:gridSpan w:val="2"/>
            <w:vMerge w:val="restart"/>
            <w:vAlign w:val="bottom"/>
          </w:tcPr>
          <w:p w14:paraId="78AE9835" w14:textId="77777777" w:rsidR="00EF26BC" w:rsidRDefault="00343DF1">
            <w:pPr>
              <w:ind w:right="9"/>
              <w:jc w:val="right"/>
              <w:rPr>
                <w:sz w:val="20"/>
                <w:szCs w:val="20"/>
              </w:rPr>
            </w:pPr>
            <w:r>
              <w:rPr>
                <w:rFonts w:ascii="Calibri" w:eastAsia="Calibri" w:hAnsi="Calibri" w:cs="Calibri"/>
                <w:color w:val="404040"/>
                <w:sz w:val="18"/>
                <w:szCs w:val="18"/>
              </w:rPr>
              <w:t>27</w:t>
            </w:r>
          </w:p>
        </w:tc>
        <w:tc>
          <w:tcPr>
            <w:tcW w:w="480" w:type="dxa"/>
            <w:vAlign w:val="bottom"/>
          </w:tcPr>
          <w:p w14:paraId="78AE9836" w14:textId="77777777" w:rsidR="00EF26BC" w:rsidRDefault="00EF26BC">
            <w:pPr>
              <w:rPr>
                <w:sz w:val="24"/>
                <w:szCs w:val="24"/>
              </w:rPr>
            </w:pPr>
          </w:p>
        </w:tc>
        <w:tc>
          <w:tcPr>
            <w:tcW w:w="0" w:type="dxa"/>
            <w:vAlign w:val="bottom"/>
          </w:tcPr>
          <w:p w14:paraId="78AE9837" w14:textId="77777777" w:rsidR="00EF26BC" w:rsidRDefault="00EF26BC">
            <w:pPr>
              <w:rPr>
                <w:sz w:val="1"/>
                <w:szCs w:val="1"/>
              </w:rPr>
            </w:pPr>
          </w:p>
        </w:tc>
      </w:tr>
      <w:tr w:rsidR="00EF26BC" w14:paraId="78AE9840" w14:textId="77777777">
        <w:trPr>
          <w:trHeight w:val="211"/>
        </w:trPr>
        <w:tc>
          <w:tcPr>
            <w:tcW w:w="1780" w:type="dxa"/>
            <w:gridSpan w:val="2"/>
            <w:vMerge w:val="restart"/>
            <w:vAlign w:val="bottom"/>
          </w:tcPr>
          <w:p w14:paraId="78AE9839" w14:textId="77777777" w:rsidR="00EF26BC" w:rsidRDefault="00343DF1">
            <w:pPr>
              <w:ind w:right="969"/>
              <w:jc w:val="right"/>
              <w:rPr>
                <w:sz w:val="20"/>
                <w:szCs w:val="20"/>
              </w:rPr>
            </w:pPr>
            <w:r>
              <w:rPr>
                <w:rFonts w:ascii="Calibri" w:eastAsia="Calibri" w:hAnsi="Calibri" w:cs="Calibri"/>
                <w:color w:val="404040"/>
                <w:sz w:val="18"/>
                <w:szCs w:val="18"/>
              </w:rPr>
              <w:t>26</w:t>
            </w:r>
          </w:p>
        </w:tc>
        <w:tc>
          <w:tcPr>
            <w:tcW w:w="100" w:type="dxa"/>
            <w:vAlign w:val="bottom"/>
          </w:tcPr>
          <w:p w14:paraId="78AE983A" w14:textId="77777777" w:rsidR="00EF26BC" w:rsidRDefault="00EF26BC">
            <w:pPr>
              <w:rPr>
                <w:sz w:val="18"/>
                <w:szCs w:val="18"/>
              </w:rPr>
            </w:pPr>
          </w:p>
        </w:tc>
        <w:tc>
          <w:tcPr>
            <w:tcW w:w="1300" w:type="dxa"/>
            <w:vAlign w:val="bottom"/>
          </w:tcPr>
          <w:p w14:paraId="78AE983B" w14:textId="77777777" w:rsidR="00EF26BC" w:rsidRDefault="00EF26BC">
            <w:pPr>
              <w:rPr>
                <w:sz w:val="18"/>
                <w:szCs w:val="18"/>
              </w:rPr>
            </w:pPr>
          </w:p>
        </w:tc>
        <w:tc>
          <w:tcPr>
            <w:tcW w:w="1400" w:type="dxa"/>
            <w:gridSpan w:val="2"/>
            <w:vMerge/>
            <w:vAlign w:val="bottom"/>
          </w:tcPr>
          <w:p w14:paraId="78AE983C" w14:textId="77777777" w:rsidR="00EF26BC" w:rsidRDefault="00EF26BC">
            <w:pPr>
              <w:rPr>
                <w:sz w:val="18"/>
                <w:szCs w:val="18"/>
              </w:rPr>
            </w:pPr>
          </w:p>
        </w:tc>
        <w:tc>
          <w:tcPr>
            <w:tcW w:w="1160" w:type="dxa"/>
            <w:gridSpan w:val="2"/>
            <w:vMerge/>
            <w:vAlign w:val="bottom"/>
          </w:tcPr>
          <w:p w14:paraId="78AE983D" w14:textId="77777777" w:rsidR="00EF26BC" w:rsidRDefault="00EF26BC">
            <w:pPr>
              <w:rPr>
                <w:sz w:val="18"/>
                <w:szCs w:val="18"/>
              </w:rPr>
            </w:pPr>
          </w:p>
        </w:tc>
        <w:tc>
          <w:tcPr>
            <w:tcW w:w="480" w:type="dxa"/>
            <w:vAlign w:val="bottom"/>
          </w:tcPr>
          <w:p w14:paraId="78AE983E" w14:textId="77777777" w:rsidR="00EF26BC" w:rsidRDefault="00EF26BC">
            <w:pPr>
              <w:rPr>
                <w:sz w:val="18"/>
                <w:szCs w:val="18"/>
              </w:rPr>
            </w:pPr>
          </w:p>
        </w:tc>
        <w:tc>
          <w:tcPr>
            <w:tcW w:w="0" w:type="dxa"/>
            <w:vAlign w:val="bottom"/>
          </w:tcPr>
          <w:p w14:paraId="78AE983F" w14:textId="77777777" w:rsidR="00EF26BC" w:rsidRDefault="00EF26BC">
            <w:pPr>
              <w:rPr>
                <w:sz w:val="1"/>
                <w:szCs w:val="1"/>
              </w:rPr>
            </w:pPr>
          </w:p>
        </w:tc>
      </w:tr>
      <w:tr w:rsidR="00EF26BC" w14:paraId="78AE984A" w14:textId="77777777">
        <w:trPr>
          <w:trHeight w:val="72"/>
        </w:trPr>
        <w:tc>
          <w:tcPr>
            <w:tcW w:w="1780" w:type="dxa"/>
            <w:gridSpan w:val="2"/>
            <w:vMerge/>
            <w:vAlign w:val="bottom"/>
          </w:tcPr>
          <w:p w14:paraId="78AE9841" w14:textId="77777777" w:rsidR="00EF26BC" w:rsidRDefault="00EF26BC">
            <w:pPr>
              <w:rPr>
                <w:sz w:val="6"/>
                <w:szCs w:val="6"/>
              </w:rPr>
            </w:pPr>
          </w:p>
        </w:tc>
        <w:tc>
          <w:tcPr>
            <w:tcW w:w="100" w:type="dxa"/>
            <w:vAlign w:val="bottom"/>
          </w:tcPr>
          <w:p w14:paraId="78AE9842" w14:textId="77777777" w:rsidR="00EF26BC" w:rsidRDefault="00EF26BC">
            <w:pPr>
              <w:rPr>
                <w:sz w:val="6"/>
                <w:szCs w:val="6"/>
              </w:rPr>
            </w:pPr>
          </w:p>
        </w:tc>
        <w:tc>
          <w:tcPr>
            <w:tcW w:w="1300" w:type="dxa"/>
            <w:vAlign w:val="bottom"/>
          </w:tcPr>
          <w:p w14:paraId="78AE9843" w14:textId="77777777" w:rsidR="00EF26BC" w:rsidRDefault="00EF26BC">
            <w:pPr>
              <w:rPr>
                <w:sz w:val="6"/>
                <w:szCs w:val="6"/>
              </w:rPr>
            </w:pPr>
          </w:p>
        </w:tc>
        <w:tc>
          <w:tcPr>
            <w:tcW w:w="80" w:type="dxa"/>
            <w:vAlign w:val="bottom"/>
          </w:tcPr>
          <w:p w14:paraId="78AE9844" w14:textId="77777777" w:rsidR="00EF26BC" w:rsidRDefault="00EF26BC">
            <w:pPr>
              <w:rPr>
                <w:sz w:val="6"/>
                <w:szCs w:val="6"/>
              </w:rPr>
            </w:pPr>
          </w:p>
        </w:tc>
        <w:tc>
          <w:tcPr>
            <w:tcW w:w="1320" w:type="dxa"/>
            <w:vAlign w:val="bottom"/>
          </w:tcPr>
          <w:p w14:paraId="78AE9845" w14:textId="77777777" w:rsidR="00EF26BC" w:rsidRDefault="00EF26BC">
            <w:pPr>
              <w:rPr>
                <w:sz w:val="6"/>
                <w:szCs w:val="6"/>
              </w:rPr>
            </w:pPr>
          </w:p>
        </w:tc>
        <w:tc>
          <w:tcPr>
            <w:tcW w:w="100" w:type="dxa"/>
            <w:vAlign w:val="bottom"/>
          </w:tcPr>
          <w:p w14:paraId="78AE9846" w14:textId="77777777" w:rsidR="00EF26BC" w:rsidRDefault="00EF26BC">
            <w:pPr>
              <w:rPr>
                <w:sz w:val="6"/>
                <w:szCs w:val="6"/>
              </w:rPr>
            </w:pPr>
          </w:p>
        </w:tc>
        <w:tc>
          <w:tcPr>
            <w:tcW w:w="1060" w:type="dxa"/>
            <w:vAlign w:val="bottom"/>
          </w:tcPr>
          <w:p w14:paraId="78AE9847" w14:textId="77777777" w:rsidR="00EF26BC" w:rsidRDefault="00EF26BC">
            <w:pPr>
              <w:rPr>
                <w:sz w:val="6"/>
                <w:szCs w:val="6"/>
              </w:rPr>
            </w:pPr>
          </w:p>
        </w:tc>
        <w:tc>
          <w:tcPr>
            <w:tcW w:w="480" w:type="dxa"/>
            <w:vAlign w:val="bottom"/>
          </w:tcPr>
          <w:p w14:paraId="78AE9848" w14:textId="77777777" w:rsidR="00EF26BC" w:rsidRDefault="00EF26BC">
            <w:pPr>
              <w:rPr>
                <w:sz w:val="6"/>
                <w:szCs w:val="6"/>
              </w:rPr>
            </w:pPr>
          </w:p>
        </w:tc>
        <w:tc>
          <w:tcPr>
            <w:tcW w:w="0" w:type="dxa"/>
            <w:vAlign w:val="bottom"/>
          </w:tcPr>
          <w:p w14:paraId="78AE9849" w14:textId="77777777" w:rsidR="00EF26BC" w:rsidRDefault="00EF26BC">
            <w:pPr>
              <w:rPr>
                <w:sz w:val="1"/>
                <w:szCs w:val="1"/>
              </w:rPr>
            </w:pPr>
          </w:p>
        </w:tc>
      </w:tr>
      <w:tr w:rsidR="00EF26BC" w14:paraId="78AE9853" w14:textId="77777777">
        <w:trPr>
          <w:trHeight w:val="422"/>
        </w:trPr>
        <w:tc>
          <w:tcPr>
            <w:tcW w:w="1780" w:type="dxa"/>
            <w:gridSpan w:val="2"/>
            <w:vMerge w:val="restart"/>
            <w:vAlign w:val="bottom"/>
          </w:tcPr>
          <w:p w14:paraId="78AE984B" w14:textId="77777777" w:rsidR="00EF26BC" w:rsidRDefault="00343DF1">
            <w:pPr>
              <w:ind w:right="569"/>
              <w:jc w:val="right"/>
              <w:rPr>
                <w:sz w:val="20"/>
                <w:szCs w:val="20"/>
              </w:rPr>
            </w:pPr>
            <w:r>
              <w:rPr>
                <w:rFonts w:ascii="Calibri" w:eastAsia="Calibri" w:hAnsi="Calibri" w:cs="Calibri"/>
                <w:color w:val="404040"/>
                <w:sz w:val="18"/>
                <w:szCs w:val="18"/>
              </w:rPr>
              <w:t>17</w:t>
            </w:r>
          </w:p>
        </w:tc>
        <w:tc>
          <w:tcPr>
            <w:tcW w:w="100" w:type="dxa"/>
            <w:vAlign w:val="bottom"/>
          </w:tcPr>
          <w:p w14:paraId="78AE984C" w14:textId="77777777" w:rsidR="00EF26BC" w:rsidRDefault="00EF26BC">
            <w:pPr>
              <w:rPr>
                <w:sz w:val="24"/>
                <w:szCs w:val="24"/>
              </w:rPr>
            </w:pPr>
          </w:p>
        </w:tc>
        <w:tc>
          <w:tcPr>
            <w:tcW w:w="1300" w:type="dxa"/>
            <w:vAlign w:val="bottom"/>
          </w:tcPr>
          <w:p w14:paraId="78AE984D" w14:textId="77777777" w:rsidR="00EF26BC" w:rsidRDefault="00EF26BC">
            <w:pPr>
              <w:rPr>
                <w:sz w:val="24"/>
                <w:szCs w:val="24"/>
              </w:rPr>
            </w:pPr>
          </w:p>
        </w:tc>
        <w:tc>
          <w:tcPr>
            <w:tcW w:w="1400" w:type="dxa"/>
            <w:gridSpan w:val="2"/>
            <w:vAlign w:val="bottom"/>
          </w:tcPr>
          <w:p w14:paraId="78AE984E" w14:textId="77777777" w:rsidR="00EF26BC" w:rsidRDefault="00343DF1">
            <w:pPr>
              <w:ind w:right="709"/>
              <w:jc w:val="right"/>
              <w:rPr>
                <w:sz w:val="20"/>
                <w:szCs w:val="20"/>
              </w:rPr>
            </w:pPr>
            <w:r>
              <w:rPr>
                <w:rFonts w:ascii="Calibri" w:eastAsia="Calibri" w:hAnsi="Calibri" w:cs="Calibri"/>
                <w:color w:val="404040"/>
                <w:sz w:val="18"/>
                <w:szCs w:val="18"/>
              </w:rPr>
              <w:t>20</w:t>
            </w:r>
          </w:p>
        </w:tc>
        <w:tc>
          <w:tcPr>
            <w:tcW w:w="100" w:type="dxa"/>
            <w:vAlign w:val="bottom"/>
          </w:tcPr>
          <w:p w14:paraId="78AE984F" w14:textId="77777777" w:rsidR="00EF26BC" w:rsidRDefault="00EF26BC">
            <w:pPr>
              <w:rPr>
                <w:sz w:val="24"/>
                <w:szCs w:val="24"/>
              </w:rPr>
            </w:pPr>
          </w:p>
        </w:tc>
        <w:tc>
          <w:tcPr>
            <w:tcW w:w="1060" w:type="dxa"/>
            <w:vAlign w:val="bottom"/>
          </w:tcPr>
          <w:p w14:paraId="78AE9850" w14:textId="77777777" w:rsidR="00EF26BC" w:rsidRDefault="00EF26BC">
            <w:pPr>
              <w:rPr>
                <w:sz w:val="24"/>
                <w:szCs w:val="24"/>
              </w:rPr>
            </w:pPr>
          </w:p>
        </w:tc>
        <w:tc>
          <w:tcPr>
            <w:tcW w:w="480" w:type="dxa"/>
            <w:vAlign w:val="bottom"/>
          </w:tcPr>
          <w:p w14:paraId="78AE9851" w14:textId="77777777" w:rsidR="00EF26BC" w:rsidRDefault="00EF26BC">
            <w:pPr>
              <w:rPr>
                <w:sz w:val="24"/>
                <w:szCs w:val="24"/>
              </w:rPr>
            </w:pPr>
          </w:p>
        </w:tc>
        <w:tc>
          <w:tcPr>
            <w:tcW w:w="0" w:type="dxa"/>
            <w:vAlign w:val="bottom"/>
          </w:tcPr>
          <w:p w14:paraId="78AE9852" w14:textId="77777777" w:rsidR="00EF26BC" w:rsidRDefault="00EF26BC">
            <w:pPr>
              <w:rPr>
                <w:sz w:val="1"/>
                <w:szCs w:val="1"/>
              </w:rPr>
            </w:pPr>
          </w:p>
        </w:tc>
      </w:tr>
      <w:tr w:rsidR="00EF26BC" w14:paraId="78AE985B" w14:textId="77777777">
        <w:trPr>
          <w:trHeight w:val="211"/>
        </w:trPr>
        <w:tc>
          <w:tcPr>
            <w:tcW w:w="1780" w:type="dxa"/>
            <w:gridSpan w:val="2"/>
            <w:vMerge/>
            <w:vAlign w:val="bottom"/>
          </w:tcPr>
          <w:p w14:paraId="78AE9854" w14:textId="77777777" w:rsidR="00EF26BC" w:rsidRDefault="00EF26BC">
            <w:pPr>
              <w:rPr>
                <w:sz w:val="18"/>
                <w:szCs w:val="18"/>
              </w:rPr>
            </w:pPr>
          </w:p>
        </w:tc>
        <w:tc>
          <w:tcPr>
            <w:tcW w:w="1400" w:type="dxa"/>
            <w:gridSpan w:val="2"/>
            <w:vMerge w:val="restart"/>
            <w:vAlign w:val="bottom"/>
          </w:tcPr>
          <w:p w14:paraId="78AE9855" w14:textId="77777777" w:rsidR="00EF26BC" w:rsidRDefault="00343DF1">
            <w:pPr>
              <w:ind w:right="129"/>
              <w:jc w:val="right"/>
              <w:rPr>
                <w:sz w:val="20"/>
                <w:szCs w:val="20"/>
              </w:rPr>
            </w:pPr>
            <w:r>
              <w:rPr>
                <w:rFonts w:ascii="Calibri" w:eastAsia="Calibri" w:hAnsi="Calibri" w:cs="Calibri"/>
                <w:color w:val="404040"/>
                <w:sz w:val="18"/>
                <w:szCs w:val="18"/>
              </w:rPr>
              <w:t>16</w:t>
            </w:r>
          </w:p>
        </w:tc>
        <w:tc>
          <w:tcPr>
            <w:tcW w:w="80" w:type="dxa"/>
            <w:vAlign w:val="bottom"/>
          </w:tcPr>
          <w:p w14:paraId="78AE9856" w14:textId="77777777" w:rsidR="00EF26BC" w:rsidRDefault="00EF26BC">
            <w:pPr>
              <w:rPr>
                <w:sz w:val="18"/>
                <w:szCs w:val="18"/>
              </w:rPr>
            </w:pPr>
          </w:p>
        </w:tc>
        <w:tc>
          <w:tcPr>
            <w:tcW w:w="1320" w:type="dxa"/>
            <w:vAlign w:val="bottom"/>
          </w:tcPr>
          <w:p w14:paraId="78AE9857" w14:textId="77777777" w:rsidR="00EF26BC" w:rsidRDefault="00EF26BC">
            <w:pPr>
              <w:rPr>
                <w:sz w:val="18"/>
                <w:szCs w:val="18"/>
              </w:rPr>
            </w:pPr>
          </w:p>
        </w:tc>
        <w:tc>
          <w:tcPr>
            <w:tcW w:w="1160" w:type="dxa"/>
            <w:gridSpan w:val="2"/>
            <w:vMerge w:val="restart"/>
            <w:vAlign w:val="bottom"/>
          </w:tcPr>
          <w:p w14:paraId="78AE9858" w14:textId="77777777" w:rsidR="00EF26BC" w:rsidRDefault="00343DF1">
            <w:pPr>
              <w:ind w:right="429"/>
              <w:jc w:val="right"/>
              <w:rPr>
                <w:sz w:val="20"/>
                <w:szCs w:val="20"/>
              </w:rPr>
            </w:pPr>
            <w:r>
              <w:rPr>
                <w:rFonts w:ascii="Calibri" w:eastAsia="Calibri" w:hAnsi="Calibri" w:cs="Calibri"/>
                <w:color w:val="404040"/>
                <w:sz w:val="18"/>
                <w:szCs w:val="18"/>
              </w:rPr>
              <w:t>16</w:t>
            </w:r>
          </w:p>
        </w:tc>
        <w:tc>
          <w:tcPr>
            <w:tcW w:w="480" w:type="dxa"/>
            <w:vMerge w:val="restart"/>
            <w:vAlign w:val="bottom"/>
          </w:tcPr>
          <w:p w14:paraId="78AE9859" w14:textId="77777777" w:rsidR="00EF26BC" w:rsidRDefault="00343DF1">
            <w:pPr>
              <w:ind w:right="89"/>
              <w:jc w:val="right"/>
              <w:rPr>
                <w:sz w:val="20"/>
                <w:szCs w:val="20"/>
              </w:rPr>
            </w:pPr>
            <w:r>
              <w:rPr>
                <w:rFonts w:ascii="Calibri" w:eastAsia="Calibri" w:hAnsi="Calibri" w:cs="Calibri"/>
                <w:color w:val="404040"/>
                <w:sz w:val="18"/>
                <w:szCs w:val="18"/>
              </w:rPr>
              <w:t>15</w:t>
            </w:r>
          </w:p>
        </w:tc>
        <w:tc>
          <w:tcPr>
            <w:tcW w:w="0" w:type="dxa"/>
            <w:vAlign w:val="bottom"/>
          </w:tcPr>
          <w:p w14:paraId="78AE985A" w14:textId="77777777" w:rsidR="00EF26BC" w:rsidRDefault="00EF26BC">
            <w:pPr>
              <w:rPr>
                <w:sz w:val="1"/>
                <w:szCs w:val="1"/>
              </w:rPr>
            </w:pPr>
          </w:p>
        </w:tc>
      </w:tr>
      <w:tr w:rsidR="00EF26BC" w14:paraId="78AE9864" w14:textId="77777777">
        <w:trPr>
          <w:trHeight w:val="72"/>
        </w:trPr>
        <w:tc>
          <w:tcPr>
            <w:tcW w:w="100" w:type="dxa"/>
            <w:vAlign w:val="bottom"/>
          </w:tcPr>
          <w:p w14:paraId="78AE985C" w14:textId="77777777" w:rsidR="00EF26BC" w:rsidRDefault="00EF26BC">
            <w:pPr>
              <w:rPr>
                <w:sz w:val="6"/>
                <w:szCs w:val="6"/>
              </w:rPr>
            </w:pPr>
          </w:p>
        </w:tc>
        <w:tc>
          <w:tcPr>
            <w:tcW w:w="1680" w:type="dxa"/>
            <w:vAlign w:val="bottom"/>
          </w:tcPr>
          <w:p w14:paraId="78AE985D" w14:textId="77777777" w:rsidR="00EF26BC" w:rsidRDefault="00EF26BC">
            <w:pPr>
              <w:rPr>
                <w:sz w:val="6"/>
                <w:szCs w:val="6"/>
              </w:rPr>
            </w:pPr>
          </w:p>
        </w:tc>
        <w:tc>
          <w:tcPr>
            <w:tcW w:w="1400" w:type="dxa"/>
            <w:gridSpan w:val="2"/>
            <w:vMerge/>
            <w:vAlign w:val="bottom"/>
          </w:tcPr>
          <w:p w14:paraId="78AE985E" w14:textId="77777777" w:rsidR="00EF26BC" w:rsidRDefault="00EF26BC">
            <w:pPr>
              <w:rPr>
                <w:sz w:val="6"/>
                <w:szCs w:val="6"/>
              </w:rPr>
            </w:pPr>
          </w:p>
        </w:tc>
        <w:tc>
          <w:tcPr>
            <w:tcW w:w="80" w:type="dxa"/>
            <w:vAlign w:val="bottom"/>
          </w:tcPr>
          <w:p w14:paraId="78AE985F" w14:textId="77777777" w:rsidR="00EF26BC" w:rsidRDefault="00EF26BC">
            <w:pPr>
              <w:rPr>
                <w:sz w:val="6"/>
                <w:szCs w:val="6"/>
              </w:rPr>
            </w:pPr>
          </w:p>
        </w:tc>
        <w:tc>
          <w:tcPr>
            <w:tcW w:w="1320" w:type="dxa"/>
            <w:vAlign w:val="bottom"/>
          </w:tcPr>
          <w:p w14:paraId="78AE9860" w14:textId="77777777" w:rsidR="00EF26BC" w:rsidRDefault="00EF26BC">
            <w:pPr>
              <w:rPr>
                <w:sz w:val="6"/>
                <w:szCs w:val="6"/>
              </w:rPr>
            </w:pPr>
          </w:p>
        </w:tc>
        <w:tc>
          <w:tcPr>
            <w:tcW w:w="1160" w:type="dxa"/>
            <w:gridSpan w:val="2"/>
            <w:vMerge/>
            <w:vAlign w:val="bottom"/>
          </w:tcPr>
          <w:p w14:paraId="78AE9861" w14:textId="77777777" w:rsidR="00EF26BC" w:rsidRDefault="00EF26BC">
            <w:pPr>
              <w:rPr>
                <w:sz w:val="6"/>
                <w:szCs w:val="6"/>
              </w:rPr>
            </w:pPr>
          </w:p>
        </w:tc>
        <w:tc>
          <w:tcPr>
            <w:tcW w:w="480" w:type="dxa"/>
            <w:vMerge/>
            <w:vAlign w:val="bottom"/>
          </w:tcPr>
          <w:p w14:paraId="78AE9862" w14:textId="77777777" w:rsidR="00EF26BC" w:rsidRDefault="00EF26BC">
            <w:pPr>
              <w:rPr>
                <w:sz w:val="6"/>
                <w:szCs w:val="6"/>
              </w:rPr>
            </w:pPr>
          </w:p>
        </w:tc>
        <w:tc>
          <w:tcPr>
            <w:tcW w:w="0" w:type="dxa"/>
            <w:vAlign w:val="bottom"/>
          </w:tcPr>
          <w:p w14:paraId="78AE9863" w14:textId="77777777" w:rsidR="00EF26BC" w:rsidRDefault="00EF26BC">
            <w:pPr>
              <w:rPr>
                <w:sz w:val="1"/>
                <w:szCs w:val="1"/>
              </w:rPr>
            </w:pPr>
          </w:p>
        </w:tc>
      </w:tr>
      <w:tr w:rsidR="00EF26BC" w14:paraId="78AE986F" w14:textId="77777777">
        <w:trPr>
          <w:trHeight w:val="72"/>
        </w:trPr>
        <w:tc>
          <w:tcPr>
            <w:tcW w:w="100" w:type="dxa"/>
            <w:vAlign w:val="bottom"/>
          </w:tcPr>
          <w:p w14:paraId="78AE9865" w14:textId="77777777" w:rsidR="00EF26BC" w:rsidRDefault="00EF26BC">
            <w:pPr>
              <w:rPr>
                <w:sz w:val="6"/>
                <w:szCs w:val="6"/>
              </w:rPr>
            </w:pPr>
          </w:p>
        </w:tc>
        <w:tc>
          <w:tcPr>
            <w:tcW w:w="1680" w:type="dxa"/>
            <w:vAlign w:val="bottom"/>
          </w:tcPr>
          <w:p w14:paraId="78AE9866" w14:textId="77777777" w:rsidR="00EF26BC" w:rsidRDefault="00EF26BC">
            <w:pPr>
              <w:rPr>
                <w:sz w:val="6"/>
                <w:szCs w:val="6"/>
              </w:rPr>
            </w:pPr>
          </w:p>
        </w:tc>
        <w:tc>
          <w:tcPr>
            <w:tcW w:w="100" w:type="dxa"/>
            <w:vAlign w:val="bottom"/>
          </w:tcPr>
          <w:p w14:paraId="78AE9867" w14:textId="77777777" w:rsidR="00EF26BC" w:rsidRDefault="00EF26BC">
            <w:pPr>
              <w:rPr>
                <w:sz w:val="6"/>
                <w:szCs w:val="6"/>
              </w:rPr>
            </w:pPr>
          </w:p>
        </w:tc>
        <w:tc>
          <w:tcPr>
            <w:tcW w:w="1300" w:type="dxa"/>
            <w:vAlign w:val="bottom"/>
          </w:tcPr>
          <w:p w14:paraId="78AE9868" w14:textId="77777777" w:rsidR="00EF26BC" w:rsidRDefault="00EF26BC">
            <w:pPr>
              <w:rPr>
                <w:sz w:val="6"/>
                <w:szCs w:val="6"/>
              </w:rPr>
            </w:pPr>
          </w:p>
        </w:tc>
        <w:tc>
          <w:tcPr>
            <w:tcW w:w="80" w:type="dxa"/>
            <w:vAlign w:val="bottom"/>
          </w:tcPr>
          <w:p w14:paraId="78AE9869" w14:textId="77777777" w:rsidR="00EF26BC" w:rsidRDefault="00EF26BC">
            <w:pPr>
              <w:rPr>
                <w:sz w:val="6"/>
                <w:szCs w:val="6"/>
              </w:rPr>
            </w:pPr>
          </w:p>
        </w:tc>
        <w:tc>
          <w:tcPr>
            <w:tcW w:w="1320" w:type="dxa"/>
            <w:vAlign w:val="bottom"/>
          </w:tcPr>
          <w:p w14:paraId="78AE986A" w14:textId="77777777" w:rsidR="00EF26BC" w:rsidRDefault="00EF26BC">
            <w:pPr>
              <w:rPr>
                <w:sz w:val="6"/>
                <w:szCs w:val="6"/>
              </w:rPr>
            </w:pPr>
          </w:p>
        </w:tc>
        <w:tc>
          <w:tcPr>
            <w:tcW w:w="100" w:type="dxa"/>
            <w:vAlign w:val="bottom"/>
          </w:tcPr>
          <w:p w14:paraId="78AE986B" w14:textId="77777777" w:rsidR="00EF26BC" w:rsidRDefault="00EF26BC">
            <w:pPr>
              <w:rPr>
                <w:sz w:val="6"/>
                <w:szCs w:val="6"/>
              </w:rPr>
            </w:pPr>
          </w:p>
        </w:tc>
        <w:tc>
          <w:tcPr>
            <w:tcW w:w="1060" w:type="dxa"/>
            <w:vAlign w:val="bottom"/>
          </w:tcPr>
          <w:p w14:paraId="78AE986C" w14:textId="77777777" w:rsidR="00EF26BC" w:rsidRDefault="00EF26BC">
            <w:pPr>
              <w:rPr>
                <w:sz w:val="6"/>
                <w:szCs w:val="6"/>
              </w:rPr>
            </w:pPr>
          </w:p>
        </w:tc>
        <w:tc>
          <w:tcPr>
            <w:tcW w:w="480" w:type="dxa"/>
            <w:vMerge/>
            <w:vAlign w:val="bottom"/>
          </w:tcPr>
          <w:p w14:paraId="78AE986D" w14:textId="77777777" w:rsidR="00EF26BC" w:rsidRDefault="00EF26BC">
            <w:pPr>
              <w:rPr>
                <w:sz w:val="6"/>
                <w:szCs w:val="6"/>
              </w:rPr>
            </w:pPr>
          </w:p>
        </w:tc>
        <w:tc>
          <w:tcPr>
            <w:tcW w:w="0" w:type="dxa"/>
            <w:vAlign w:val="bottom"/>
          </w:tcPr>
          <w:p w14:paraId="78AE986E" w14:textId="77777777" w:rsidR="00EF26BC" w:rsidRDefault="00EF26BC">
            <w:pPr>
              <w:rPr>
                <w:sz w:val="1"/>
                <w:szCs w:val="1"/>
              </w:rPr>
            </w:pPr>
          </w:p>
        </w:tc>
      </w:tr>
      <w:tr w:rsidR="00EF26BC" w14:paraId="78AE9879" w14:textId="77777777">
        <w:trPr>
          <w:trHeight w:val="706"/>
        </w:trPr>
        <w:tc>
          <w:tcPr>
            <w:tcW w:w="1780" w:type="dxa"/>
            <w:gridSpan w:val="2"/>
            <w:vAlign w:val="bottom"/>
          </w:tcPr>
          <w:p w14:paraId="78AE9870" w14:textId="77777777" w:rsidR="00EF26BC" w:rsidRDefault="00343DF1">
            <w:pPr>
              <w:ind w:right="209"/>
              <w:jc w:val="right"/>
              <w:rPr>
                <w:sz w:val="20"/>
                <w:szCs w:val="20"/>
              </w:rPr>
            </w:pPr>
            <w:r>
              <w:rPr>
                <w:rFonts w:ascii="Calibri" w:eastAsia="Calibri" w:hAnsi="Calibri" w:cs="Calibri"/>
                <w:color w:val="404040"/>
                <w:sz w:val="18"/>
                <w:szCs w:val="18"/>
              </w:rPr>
              <w:t>5</w:t>
            </w:r>
          </w:p>
        </w:tc>
        <w:tc>
          <w:tcPr>
            <w:tcW w:w="100" w:type="dxa"/>
            <w:vAlign w:val="bottom"/>
          </w:tcPr>
          <w:p w14:paraId="78AE9871" w14:textId="77777777" w:rsidR="00EF26BC" w:rsidRDefault="00EF26BC">
            <w:pPr>
              <w:rPr>
                <w:sz w:val="24"/>
                <w:szCs w:val="24"/>
              </w:rPr>
            </w:pPr>
          </w:p>
        </w:tc>
        <w:tc>
          <w:tcPr>
            <w:tcW w:w="1300" w:type="dxa"/>
            <w:vAlign w:val="bottom"/>
          </w:tcPr>
          <w:p w14:paraId="78AE9872" w14:textId="77777777" w:rsidR="00EF26BC" w:rsidRDefault="00EF26BC">
            <w:pPr>
              <w:rPr>
                <w:sz w:val="24"/>
                <w:szCs w:val="24"/>
              </w:rPr>
            </w:pPr>
          </w:p>
        </w:tc>
        <w:tc>
          <w:tcPr>
            <w:tcW w:w="80" w:type="dxa"/>
            <w:vAlign w:val="bottom"/>
          </w:tcPr>
          <w:p w14:paraId="78AE9873" w14:textId="77777777" w:rsidR="00EF26BC" w:rsidRDefault="00EF26BC">
            <w:pPr>
              <w:rPr>
                <w:sz w:val="24"/>
                <w:szCs w:val="24"/>
              </w:rPr>
            </w:pPr>
          </w:p>
        </w:tc>
        <w:tc>
          <w:tcPr>
            <w:tcW w:w="1320" w:type="dxa"/>
            <w:vAlign w:val="bottom"/>
          </w:tcPr>
          <w:p w14:paraId="78AE9874" w14:textId="77777777" w:rsidR="00EF26BC" w:rsidRDefault="00EF26BC">
            <w:pPr>
              <w:rPr>
                <w:sz w:val="24"/>
                <w:szCs w:val="24"/>
              </w:rPr>
            </w:pPr>
          </w:p>
        </w:tc>
        <w:tc>
          <w:tcPr>
            <w:tcW w:w="100" w:type="dxa"/>
            <w:vAlign w:val="bottom"/>
          </w:tcPr>
          <w:p w14:paraId="78AE9875" w14:textId="77777777" w:rsidR="00EF26BC" w:rsidRDefault="00EF26BC">
            <w:pPr>
              <w:rPr>
                <w:sz w:val="24"/>
                <w:szCs w:val="24"/>
              </w:rPr>
            </w:pPr>
          </w:p>
        </w:tc>
        <w:tc>
          <w:tcPr>
            <w:tcW w:w="1060" w:type="dxa"/>
            <w:vAlign w:val="bottom"/>
          </w:tcPr>
          <w:p w14:paraId="78AE9876" w14:textId="77777777" w:rsidR="00EF26BC" w:rsidRDefault="00EF26BC">
            <w:pPr>
              <w:rPr>
                <w:sz w:val="24"/>
                <w:szCs w:val="24"/>
              </w:rPr>
            </w:pPr>
          </w:p>
        </w:tc>
        <w:tc>
          <w:tcPr>
            <w:tcW w:w="480" w:type="dxa"/>
            <w:vAlign w:val="bottom"/>
          </w:tcPr>
          <w:p w14:paraId="78AE9877" w14:textId="77777777" w:rsidR="00EF26BC" w:rsidRDefault="00EF26BC">
            <w:pPr>
              <w:rPr>
                <w:sz w:val="24"/>
                <w:szCs w:val="24"/>
              </w:rPr>
            </w:pPr>
          </w:p>
        </w:tc>
        <w:tc>
          <w:tcPr>
            <w:tcW w:w="0" w:type="dxa"/>
            <w:vAlign w:val="bottom"/>
          </w:tcPr>
          <w:p w14:paraId="78AE9878" w14:textId="77777777" w:rsidR="00EF26BC" w:rsidRDefault="00EF26BC">
            <w:pPr>
              <w:rPr>
                <w:sz w:val="1"/>
                <w:szCs w:val="1"/>
              </w:rPr>
            </w:pPr>
          </w:p>
        </w:tc>
      </w:tr>
      <w:tr w:rsidR="00EF26BC" w14:paraId="78AE9880" w14:textId="77777777">
        <w:trPr>
          <w:trHeight w:val="778"/>
        </w:trPr>
        <w:tc>
          <w:tcPr>
            <w:tcW w:w="1780" w:type="dxa"/>
            <w:gridSpan w:val="2"/>
            <w:vAlign w:val="bottom"/>
          </w:tcPr>
          <w:p w14:paraId="78AE987A" w14:textId="77777777" w:rsidR="00EF26BC" w:rsidRDefault="00343DF1">
            <w:pPr>
              <w:ind w:right="669"/>
              <w:jc w:val="right"/>
              <w:rPr>
                <w:sz w:val="20"/>
                <w:szCs w:val="20"/>
              </w:rPr>
            </w:pPr>
            <w:r>
              <w:rPr>
                <w:rFonts w:ascii="Calibri" w:eastAsia="Calibri" w:hAnsi="Calibri" w:cs="Calibri"/>
                <w:color w:val="595959"/>
                <w:sz w:val="18"/>
                <w:szCs w:val="18"/>
              </w:rPr>
              <w:t>2015</w:t>
            </w:r>
          </w:p>
        </w:tc>
        <w:tc>
          <w:tcPr>
            <w:tcW w:w="1480" w:type="dxa"/>
            <w:gridSpan w:val="3"/>
            <w:vAlign w:val="bottom"/>
          </w:tcPr>
          <w:p w14:paraId="78AE987B" w14:textId="77777777" w:rsidR="00EF26BC" w:rsidRDefault="00343DF1">
            <w:pPr>
              <w:jc w:val="right"/>
              <w:rPr>
                <w:sz w:val="20"/>
                <w:szCs w:val="20"/>
              </w:rPr>
            </w:pPr>
            <w:r>
              <w:rPr>
                <w:rFonts w:ascii="Calibri" w:eastAsia="Calibri" w:hAnsi="Calibri" w:cs="Calibri"/>
                <w:color w:val="595959"/>
                <w:sz w:val="18"/>
                <w:szCs w:val="18"/>
              </w:rPr>
              <w:t>2016</w:t>
            </w:r>
          </w:p>
        </w:tc>
        <w:tc>
          <w:tcPr>
            <w:tcW w:w="1320" w:type="dxa"/>
            <w:vAlign w:val="bottom"/>
          </w:tcPr>
          <w:p w14:paraId="78AE987C" w14:textId="77777777" w:rsidR="00EF26BC" w:rsidRDefault="00EF26BC">
            <w:pPr>
              <w:rPr>
                <w:sz w:val="24"/>
                <w:szCs w:val="24"/>
              </w:rPr>
            </w:pPr>
          </w:p>
        </w:tc>
        <w:tc>
          <w:tcPr>
            <w:tcW w:w="1160" w:type="dxa"/>
            <w:gridSpan w:val="2"/>
            <w:vAlign w:val="bottom"/>
          </w:tcPr>
          <w:p w14:paraId="78AE987D" w14:textId="77777777" w:rsidR="00EF26BC" w:rsidRDefault="00343DF1">
            <w:pPr>
              <w:ind w:right="129"/>
              <w:jc w:val="right"/>
              <w:rPr>
                <w:sz w:val="20"/>
                <w:szCs w:val="20"/>
              </w:rPr>
            </w:pPr>
            <w:r>
              <w:rPr>
                <w:rFonts w:ascii="Calibri" w:eastAsia="Calibri" w:hAnsi="Calibri" w:cs="Calibri"/>
                <w:color w:val="595959"/>
                <w:sz w:val="18"/>
                <w:szCs w:val="18"/>
              </w:rPr>
              <w:t>2017</w:t>
            </w:r>
          </w:p>
        </w:tc>
        <w:tc>
          <w:tcPr>
            <w:tcW w:w="480" w:type="dxa"/>
            <w:vAlign w:val="bottom"/>
          </w:tcPr>
          <w:p w14:paraId="78AE987E" w14:textId="77777777" w:rsidR="00EF26BC" w:rsidRDefault="00EF26BC">
            <w:pPr>
              <w:rPr>
                <w:sz w:val="24"/>
                <w:szCs w:val="24"/>
              </w:rPr>
            </w:pPr>
          </w:p>
        </w:tc>
        <w:tc>
          <w:tcPr>
            <w:tcW w:w="0" w:type="dxa"/>
            <w:vAlign w:val="bottom"/>
          </w:tcPr>
          <w:p w14:paraId="78AE987F" w14:textId="77777777" w:rsidR="00EF26BC" w:rsidRDefault="00EF26BC">
            <w:pPr>
              <w:rPr>
                <w:sz w:val="1"/>
                <w:szCs w:val="1"/>
              </w:rPr>
            </w:pPr>
          </w:p>
        </w:tc>
      </w:tr>
      <w:tr w:rsidR="00EF26BC" w14:paraId="78AE988A" w14:textId="77777777">
        <w:trPr>
          <w:trHeight w:val="239"/>
        </w:trPr>
        <w:tc>
          <w:tcPr>
            <w:tcW w:w="100" w:type="dxa"/>
            <w:vAlign w:val="bottom"/>
          </w:tcPr>
          <w:p w14:paraId="78AE9881" w14:textId="77777777" w:rsidR="00EF26BC" w:rsidRDefault="00EF26BC">
            <w:pPr>
              <w:rPr>
                <w:sz w:val="20"/>
                <w:szCs w:val="20"/>
              </w:rPr>
            </w:pPr>
          </w:p>
        </w:tc>
        <w:tc>
          <w:tcPr>
            <w:tcW w:w="1680" w:type="dxa"/>
            <w:vMerge w:val="restart"/>
            <w:vAlign w:val="bottom"/>
          </w:tcPr>
          <w:p w14:paraId="78AE9882" w14:textId="77777777" w:rsidR="00EF26BC" w:rsidRDefault="00343DF1">
            <w:pPr>
              <w:ind w:right="49"/>
              <w:jc w:val="right"/>
              <w:rPr>
                <w:sz w:val="20"/>
                <w:szCs w:val="20"/>
              </w:rPr>
            </w:pPr>
            <w:r>
              <w:rPr>
                <w:rFonts w:ascii="Calibri" w:eastAsia="Calibri" w:hAnsi="Calibri" w:cs="Calibri"/>
                <w:color w:val="595959"/>
                <w:sz w:val="18"/>
                <w:szCs w:val="18"/>
              </w:rPr>
              <w:t>Agresión Psicológica</w:t>
            </w:r>
          </w:p>
        </w:tc>
        <w:tc>
          <w:tcPr>
            <w:tcW w:w="100" w:type="dxa"/>
            <w:vAlign w:val="bottom"/>
          </w:tcPr>
          <w:p w14:paraId="78AE9883" w14:textId="77777777" w:rsidR="00EF26BC" w:rsidRDefault="00EF26BC">
            <w:pPr>
              <w:rPr>
                <w:sz w:val="20"/>
                <w:szCs w:val="20"/>
              </w:rPr>
            </w:pPr>
          </w:p>
        </w:tc>
        <w:tc>
          <w:tcPr>
            <w:tcW w:w="1300" w:type="dxa"/>
            <w:vMerge w:val="restart"/>
            <w:vAlign w:val="bottom"/>
          </w:tcPr>
          <w:p w14:paraId="78AE9884" w14:textId="77777777" w:rsidR="00EF26BC" w:rsidRDefault="00343DF1">
            <w:pPr>
              <w:ind w:right="9"/>
              <w:jc w:val="center"/>
              <w:rPr>
                <w:sz w:val="20"/>
                <w:szCs w:val="20"/>
              </w:rPr>
            </w:pPr>
            <w:r>
              <w:rPr>
                <w:rFonts w:ascii="Calibri" w:eastAsia="Calibri" w:hAnsi="Calibri" w:cs="Calibri"/>
                <w:color w:val="595959"/>
                <w:w w:val="99"/>
                <w:sz w:val="18"/>
                <w:szCs w:val="18"/>
              </w:rPr>
              <w:t>Agresión Física</w:t>
            </w:r>
          </w:p>
        </w:tc>
        <w:tc>
          <w:tcPr>
            <w:tcW w:w="80" w:type="dxa"/>
            <w:vAlign w:val="bottom"/>
          </w:tcPr>
          <w:p w14:paraId="78AE9885" w14:textId="77777777" w:rsidR="00EF26BC" w:rsidRDefault="00EF26BC">
            <w:pPr>
              <w:rPr>
                <w:sz w:val="20"/>
                <w:szCs w:val="20"/>
              </w:rPr>
            </w:pPr>
          </w:p>
        </w:tc>
        <w:tc>
          <w:tcPr>
            <w:tcW w:w="1320" w:type="dxa"/>
            <w:vMerge w:val="restart"/>
            <w:vAlign w:val="bottom"/>
          </w:tcPr>
          <w:p w14:paraId="78AE9886" w14:textId="77777777" w:rsidR="00EF26BC" w:rsidRDefault="00343DF1">
            <w:pPr>
              <w:ind w:right="69"/>
              <w:jc w:val="right"/>
              <w:rPr>
                <w:sz w:val="20"/>
                <w:szCs w:val="20"/>
              </w:rPr>
            </w:pPr>
            <w:r>
              <w:rPr>
                <w:rFonts w:ascii="Calibri" w:eastAsia="Calibri" w:hAnsi="Calibri" w:cs="Calibri"/>
                <w:color w:val="595959"/>
                <w:sz w:val="18"/>
                <w:szCs w:val="18"/>
              </w:rPr>
              <w:t>Violencia Física</w:t>
            </w:r>
          </w:p>
        </w:tc>
        <w:tc>
          <w:tcPr>
            <w:tcW w:w="100" w:type="dxa"/>
            <w:vAlign w:val="bottom"/>
          </w:tcPr>
          <w:p w14:paraId="78AE9887" w14:textId="77777777" w:rsidR="00EF26BC" w:rsidRDefault="00EF26BC">
            <w:pPr>
              <w:rPr>
                <w:sz w:val="20"/>
                <w:szCs w:val="20"/>
              </w:rPr>
            </w:pPr>
          </w:p>
        </w:tc>
        <w:tc>
          <w:tcPr>
            <w:tcW w:w="1540" w:type="dxa"/>
            <w:gridSpan w:val="2"/>
            <w:vMerge w:val="restart"/>
            <w:vAlign w:val="bottom"/>
          </w:tcPr>
          <w:p w14:paraId="78AE9888" w14:textId="77777777" w:rsidR="00EF26BC" w:rsidRDefault="00343DF1">
            <w:pPr>
              <w:jc w:val="right"/>
              <w:rPr>
                <w:sz w:val="20"/>
                <w:szCs w:val="20"/>
              </w:rPr>
            </w:pPr>
            <w:r>
              <w:rPr>
                <w:rFonts w:ascii="Calibri" w:eastAsia="Calibri" w:hAnsi="Calibri" w:cs="Calibri"/>
                <w:color w:val="595959"/>
                <w:sz w:val="18"/>
                <w:szCs w:val="18"/>
              </w:rPr>
              <w:t>Violencia Psicológica</w:t>
            </w:r>
          </w:p>
        </w:tc>
        <w:tc>
          <w:tcPr>
            <w:tcW w:w="0" w:type="dxa"/>
            <w:vAlign w:val="bottom"/>
          </w:tcPr>
          <w:p w14:paraId="78AE9889" w14:textId="77777777" w:rsidR="00EF26BC" w:rsidRDefault="00EF26BC">
            <w:pPr>
              <w:rPr>
                <w:sz w:val="1"/>
                <w:szCs w:val="1"/>
              </w:rPr>
            </w:pPr>
          </w:p>
        </w:tc>
      </w:tr>
      <w:tr w:rsidR="00EF26BC" w14:paraId="78AE9894" w14:textId="77777777">
        <w:trPr>
          <w:trHeight w:val="99"/>
        </w:trPr>
        <w:tc>
          <w:tcPr>
            <w:tcW w:w="100" w:type="dxa"/>
            <w:shd w:val="clear" w:color="auto" w:fill="4472C4"/>
            <w:vAlign w:val="bottom"/>
          </w:tcPr>
          <w:p w14:paraId="78AE988B" w14:textId="77777777" w:rsidR="00EF26BC" w:rsidRDefault="00EF26BC">
            <w:pPr>
              <w:rPr>
                <w:sz w:val="8"/>
                <w:szCs w:val="8"/>
              </w:rPr>
            </w:pPr>
          </w:p>
        </w:tc>
        <w:tc>
          <w:tcPr>
            <w:tcW w:w="1680" w:type="dxa"/>
            <w:vMerge/>
            <w:vAlign w:val="bottom"/>
          </w:tcPr>
          <w:p w14:paraId="78AE988C" w14:textId="77777777" w:rsidR="00EF26BC" w:rsidRDefault="00EF26BC">
            <w:pPr>
              <w:rPr>
                <w:sz w:val="8"/>
                <w:szCs w:val="8"/>
              </w:rPr>
            </w:pPr>
          </w:p>
        </w:tc>
        <w:tc>
          <w:tcPr>
            <w:tcW w:w="100" w:type="dxa"/>
            <w:shd w:val="clear" w:color="auto" w:fill="ED7D31"/>
            <w:vAlign w:val="bottom"/>
          </w:tcPr>
          <w:p w14:paraId="78AE988D" w14:textId="77777777" w:rsidR="00EF26BC" w:rsidRDefault="00EF26BC">
            <w:pPr>
              <w:rPr>
                <w:sz w:val="8"/>
                <w:szCs w:val="8"/>
              </w:rPr>
            </w:pPr>
          </w:p>
        </w:tc>
        <w:tc>
          <w:tcPr>
            <w:tcW w:w="1300" w:type="dxa"/>
            <w:vMerge/>
            <w:vAlign w:val="bottom"/>
          </w:tcPr>
          <w:p w14:paraId="78AE988E" w14:textId="77777777" w:rsidR="00EF26BC" w:rsidRDefault="00EF26BC">
            <w:pPr>
              <w:rPr>
                <w:sz w:val="8"/>
                <w:szCs w:val="8"/>
              </w:rPr>
            </w:pPr>
          </w:p>
        </w:tc>
        <w:tc>
          <w:tcPr>
            <w:tcW w:w="80" w:type="dxa"/>
            <w:shd w:val="clear" w:color="auto" w:fill="A5A5A5"/>
            <w:vAlign w:val="bottom"/>
          </w:tcPr>
          <w:p w14:paraId="78AE988F" w14:textId="77777777" w:rsidR="00EF26BC" w:rsidRDefault="00EF26BC">
            <w:pPr>
              <w:rPr>
                <w:sz w:val="8"/>
                <w:szCs w:val="8"/>
              </w:rPr>
            </w:pPr>
          </w:p>
        </w:tc>
        <w:tc>
          <w:tcPr>
            <w:tcW w:w="1320" w:type="dxa"/>
            <w:vMerge/>
            <w:vAlign w:val="bottom"/>
          </w:tcPr>
          <w:p w14:paraId="78AE9890" w14:textId="77777777" w:rsidR="00EF26BC" w:rsidRDefault="00EF26BC">
            <w:pPr>
              <w:rPr>
                <w:sz w:val="8"/>
                <w:szCs w:val="8"/>
              </w:rPr>
            </w:pPr>
          </w:p>
        </w:tc>
        <w:tc>
          <w:tcPr>
            <w:tcW w:w="100" w:type="dxa"/>
            <w:shd w:val="clear" w:color="auto" w:fill="FFC000"/>
            <w:vAlign w:val="bottom"/>
          </w:tcPr>
          <w:p w14:paraId="78AE9891" w14:textId="77777777" w:rsidR="00EF26BC" w:rsidRDefault="00EF26BC">
            <w:pPr>
              <w:rPr>
                <w:sz w:val="8"/>
                <w:szCs w:val="8"/>
              </w:rPr>
            </w:pPr>
          </w:p>
        </w:tc>
        <w:tc>
          <w:tcPr>
            <w:tcW w:w="1540" w:type="dxa"/>
            <w:gridSpan w:val="2"/>
            <w:vMerge/>
            <w:vAlign w:val="bottom"/>
          </w:tcPr>
          <w:p w14:paraId="78AE9892" w14:textId="77777777" w:rsidR="00EF26BC" w:rsidRDefault="00EF26BC">
            <w:pPr>
              <w:rPr>
                <w:sz w:val="8"/>
                <w:szCs w:val="8"/>
              </w:rPr>
            </w:pPr>
          </w:p>
        </w:tc>
        <w:tc>
          <w:tcPr>
            <w:tcW w:w="0" w:type="dxa"/>
            <w:vAlign w:val="bottom"/>
          </w:tcPr>
          <w:p w14:paraId="78AE9893" w14:textId="77777777" w:rsidR="00EF26BC" w:rsidRDefault="00EF26BC">
            <w:pPr>
              <w:rPr>
                <w:sz w:val="1"/>
                <w:szCs w:val="1"/>
              </w:rPr>
            </w:pPr>
          </w:p>
        </w:tc>
      </w:tr>
    </w:tbl>
    <w:p w14:paraId="78AE9895" w14:textId="77777777" w:rsidR="00EF26BC" w:rsidRDefault="00EF26BC">
      <w:pPr>
        <w:spacing w:line="318" w:lineRule="exact"/>
        <w:rPr>
          <w:sz w:val="20"/>
          <w:szCs w:val="20"/>
        </w:rPr>
      </w:pPr>
    </w:p>
    <w:p w14:paraId="78AE9896" w14:textId="77777777" w:rsidR="00EF26BC" w:rsidRDefault="00343DF1">
      <w:pPr>
        <w:ind w:left="820"/>
        <w:rPr>
          <w:sz w:val="20"/>
          <w:szCs w:val="20"/>
        </w:rPr>
      </w:pPr>
      <w:r>
        <w:rPr>
          <w:rFonts w:eastAsia="Times New Roman"/>
        </w:rPr>
        <w:t>Fuente: COMESCO, 2018, p 33.</w:t>
      </w:r>
    </w:p>
    <w:p w14:paraId="78AE9897" w14:textId="77777777" w:rsidR="00EF26BC" w:rsidRDefault="00EF26BC">
      <w:pPr>
        <w:spacing w:line="200" w:lineRule="exact"/>
        <w:rPr>
          <w:sz w:val="20"/>
          <w:szCs w:val="20"/>
        </w:rPr>
      </w:pPr>
    </w:p>
    <w:p w14:paraId="78AE9898" w14:textId="77777777" w:rsidR="00EF26BC" w:rsidRDefault="00EF26BC">
      <w:pPr>
        <w:spacing w:line="272" w:lineRule="exact"/>
        <w:rPr>
          <w:sz w:val="20"/>
          <w:szCs w:val="20"/>
        </w:rPr>
      </w:pPr>
    </w:p>
    <w:p w14:paraId="78AE9899" w14:textId="77777777" w:rsidR="00EF26BC" w:rsidRDefault="00343DF1">
      <w:pPr>
        <w:spacing w:line="242" w:lineRule="auto"/>
        <w:ind w:left="820" w:right="1800"/>
        <w:jc w:val="both"/>
        <w:rPr>
          <w:sz w:val="20"/>
          <w:szCs w:val="20"/>
        </w:rPr>
      </w:pPr>
      <w:r>
        <w:rPr>
          <w:rFonts w:eastAsia="Times New Roman"/>
          <w:sz w:val="24"/>
          <w:szCs w:val="24"/>
        </w:rPr>
        <w:t>Según datos suministrados por la Comisión Técnica Interinstitucional sobre Estadísticas de Convivencia y Seguridad Ciudadana (2018), la Fuerza Pública aprehende cada año alrededor de 10.000 personas (en promedio una cada hora) en casos de violencia domésti</w:t>
      </w:r>
      <w:r>
        <w:rPr>
          <w:rFonts w:eastAsia="Times New Roman"/>
          <w:sz w:val="24"/>
          <w:szCs w:val="24"/>
        </w:rPr>
        <w:t xml:space="preserve">ca o intrafamiliar. La mayoría de las actuaciones policiales por casos de violencia fueron para la atención de mujeres víctimas (Ver </w:t>
      </w:r>
      <w:r>
        <w:rPr>
          <w:rFonts w:eastAsia="Times New Roman"/>
          <w:b/>
          <w:bCs/>
          <w:sz w:val="24"/>
          <w:szCs w:val="24"/>
        </w:rPr>
        <w:t>gráfico N° 7</w:t>
      </w:r>
      <w:r>
        <w:rPr>
          <w:rFonts w:eastAsia="Times New Roman"/>
          <w:sz w:val="24"/>
          <w:szCs w:val="24"/>
        </w:rPr>
        <w:t>). Por otra parte, generalmente el juzgado, cuando la persona</w:t>
      </w:r>
      <w:r>
        <w:rPr>
          <w:rFonts w:eastAsia="Times New Roman"/>
          <w:b/>
          <w:bCs/>
          <w:sz w:val="24"/>
          <w:szCs w:val="24"/>
        </w:rPr>
        <w:t xml:space="preserve"> </w:t>
      </w:r>
      <w:r>
        <w:rPr>
          <w:rFonts w:eastAsia="Times New Roman"/>
          <w:sz w:val="24"/>
          <w:szCs w:val="24"/>
        </w:rPr>
        <w:t xml:space="preserve">agresora es detenida por primera vez, como </w:t>
      </w:r>
      <w:r>
        <w:rPr>
          <w:rFonts w:eastAsia="Times New Roman"/>
          <w:sz w:val="24"/>
          <w:szCs w:val="24"/>
        </w:rPr>
        <w:t>medida de protección para la víctima, dicta medidas cautelares y se le prohíbe que la perturbe o intimide a algún integrante de la familia, se le impide el acceso al domicilio, trabajo o lugar de estudio de la víctima, debe salir del domicilio y la víctima</w:t>
      </w:r>
      <w:r>
        <w:rPr>
          <w:rFonts w:eastAsia="Times New Roman"/>
          <w:sz w:val="24"/>
          <w:szCs w:val="24"/>
        </w:rPr>
        <w:t xml:space="preserve"> puede solicitar auxilio policial, en caso de que la persona agresora incumpla estas medidas. Una vez dictadas las medidas, que incluyen el desalojo de la persona agresora, la Fuerza Pública le acompaña a la casa para cumplir lo que el juzgado ordena (se l</w:t>
      </w:r>
      <w:r>
        <w:rPr>
          <w:rFonts w:eastAsia="Times New Roman"/>
          <w:sz w:val="24"/>
          <w:szCs w:val="24"/>
        </w:rPr>
        <w:t>e retira la llave de la vivienda, se le indica que debe sacar sus cosas personales, así como herramientas de trabajo y se le acompaña donde familiares o personas conocidas a quienes se les indica que ha sido retirado de su núcleo familiar por hechos de vio</w:t>
      </w:r>
      <w:r>
        <w:rPr>
          <w:rFonts w:eastAsia="Times New Roman"/>
          <w:sz w:val="24"/>
          <w:szCs w:val="24"/>
        </w:rPr>
        <w:t>lencia doméstica) (COMESCO, 2018).</w:t>
      </w:r>
    </w:p>
    <w:p w14:paraId="78AE989A" w14:textId="77777777" w:rsidR="00EF26BC" w:rsidRDefault="00EF26BC">
      <w:pPr>
        <w:spacing w:line="200" w:lineRule="exact"/>
        <w:rPr>
          <w:sz w:val="20"/>
          <w:szCs w:val="20"/>
        </w:rPr>
      </w:pPr>
    </w:p>
    <w:p w14:paraId="78AE989B" w14:textId="77777777" w:rsidR="00EF26BC" w:rsidRDefault="00EF26BC">
      <w:pPr>
        <w:spacing w:line="200" w:lineRule="exact"/>
        <w:rPr>
          <w:sz w:val="20"/>
          <w:szCs w:val="20"/>
        </w:rPr>
      </w:pPr>
    </w:p>
    <w:p w14:paraId="78AE989C" w14:textId="77777777" w:rsidR="00EF26BC" w:rsidRDefault="00EF26BC">
      <w:pPr>
        <w:spacing w:line="200" w:lineRule="exact"/>
        <w:rPr>
          <w:sz w:val="20"/>
          <w:szCs w:val="20"/>
        </w:rPr>
      </w:pPr>
    </w:p>
    <w:p w14:paraId="78AE989D" w14:textId="77777777" w:rsidR="00EF26BC" w:rsidRDefault="00EF26BC">
      <w:pPr>
        <w:spacing w:line="200" w:lineRule="exact"/>
        <w:rPr>
          <w:sz w:val="20"/>
          <w:szCs w:val="20"/>
        </w:rPr>
      </w:pPr>
    </w:p>
    <w:p w14:paraId="78AE989E" w14:textId="77777777" w:rsidR="00EF26BC" w:rsidRDefault="00EF26BC">
      <w:pPr>
        <w:spacing w:line="200" w:lineRule="exact"/>
        <w:rPr>
          <w:sz w:val="20"/>
          <w:szCs w:val="20"/>
        </w:rPr>
      </w:pPr>
    </w:p>
    <w:p w14:paraId="78AE989F" w14:textId="77777777" w:rsidR="00EF26BC" w:rsidRDefault="00EF26BC">
      <w:pPr>
        <w:spacing w:line="200" w:lineRule="exact"/>
        <w:rPr>
          <w:sz w:val="20"/>
          <w:szCs w:val="20"/>
        </w:rPr>
      </w:pPr>
    </w:p>
    <w:p w14:paraId="78AE98A0" w14:textId="77777777" w:rsidR="00EF26BC" w:rsidRDefault="00EF26BC">
      <w:pPr>
        <w:spacing w:line="200" w:lineRule="exact"/>
        <w:rPr>
          <w:sz w:val="20"/>
          <w:szCs w:val="20"/>
        </w:rPr>
      </w:pPr>
    </w:p>
    <w:p w14:paraId="78AE98A1" w14:textId="77777777" w:rsidR="00EF26BC" w:rsidRDefault="00EF26BC">
      <w:pPr>
        <w:spacing w:line="200" w:lineRule="exact"/>
        <w:rPr>
          <w:sz w:val="20"/>
          <w:szCs w:val="20"/>
        </w:rPr>
      </w:pPr>
    </w:p>
    <w:p w14:paraId="78AE98A2" w14:textId="77777777" w:rsidR="00EF26BC" w:rsidRDefault="00EF26BC">
      <w:pPr>
        <w:spacing w:line="200" w:lineRule="exact"/>
        <w:rPr>
          <w:sz w:val="20"/>
          <w:szCs w:val="20"/>
        </w:rPr>
      </w:pPr>
    </w:p>
    <w:p w14:paraId="78AE98A3" w14:textId="77777777" w:rsidR="00EF26BC" w:rsidRDefault="00EF26BC">
      <w:pPr>
        <w:spacing w:line="293"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8A7" w14:textId="77777777">
        <w:trPr>
          <w:trHeight w:val="240"/>
        </w:trPr>
        <w:tc>
          <w:tcPr>
            <w:tcW w:w="6920" w:type="dxa"/>
            <w:vAlign w:val="bottom"/>
          </w:tcPr>
          <w:p w14:paraId="78AE98A4"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8A5" w14:textId="77777777" w:rsidR="00EF26BC" w:rsidRDefault="00343DF1">
            <w:pPr>
              <w:jc w:val="right"/>
              <w:rPr>
                <w:sz w:val="20"/>
                <w:szCs w:val="20"/>
              </w:rPr>
            </w:pPr>
            <w:r>
              <w:rPr>
                <w:rFonts w:ascii="Arial" w:eastAsia="Arial" w:hAnsi="Arial" w:cs="Arial"/>
              </w:rPr>
              <w:t>103</w:t>
            </w:r>
          </w:p>
        </w:tc>
        <w:tc>
          <w:tcPr>
            <w:tcW w:w="0" w:type="dxa"/>
            <w:vAlign w:val="bottom"/>
          </w:tcPr>
          <w:p w14:paraId="78AE98A6" w14:textId="77777777" w:rsidR="00EF26BC" w:rsidRDefault="00EF26BC">
            <w:pPr>
              <w:rPr>
                <w:sz w:val="1"/>
                <w:szCs w:val="1"/>
              </w:rPr>
            </w:pPr>
          </w:p>
        </w:tc>
      </w:tr>
      <w:tr w:rsidR="00EF26BC" w14:paraId="78AE98AB" w14:textId="77777777">
        <w:trPr>
          <w:trHeight w:val="260"/>
        </w:trPr>
        <w:tc>
          <w:tcPr>
            <w:tcW w:w="6920" w:type="dxa"/>
            <w:vAlign w:val="bottom"/>
          </w:tcPr>
          <w:p w14:paraId="78AE98A8"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8A9" w14:textId="77777777" w:rsidR="00EF26BC" w:rsidRDefault="00EF26BC"/>
        </w:tc>
        <w:tc>
          <w:tcPr>
            <w:tcW w:w="0" w:type="dxa"/>
            <w:vAlign w:val="bottom"/>
          </w:tcPr>
          <w:p w14:paraId="78AE98AA" w14:textId="77777777" w:rsidR="00EF26BC" w:rsidRDefault="00EF26BC">
            <w:pPr>
              <w:rPr>
                <w:sz w:val="1"/>
                <w:szCs w:val="1"/>
              </w:rPr>
            </w:pPr>
          </w:p>
        </w:tc>
      </w:tr>
    </w:tbl>
    <w:p w14:paraId="78AE98AC" w14:textId="77777777" w:rsidR="00EF26BC" w:rsidRDefault="00EF26BC">
      <w:pPr>
        <w:sectPr w:rsidR="00EF26BC">
          <w:pgSz w:w="12240" w:h="15840"/>
          <w:pgMar w:top="714" w:right="480" w:bottom="121" w:left="1440" w:header="0" w:footer="0" w:gutter="0"/>
          <w:cols w:space="720" w:equalWidth="0">
            <w:col w:w="10320"/>
          </w:cols>
        </w:sectPr>
      </w:pPr>
    </w:p>
    <w:p w14:paraId="78AE98AD" w14:textId="77777777" w:rsidR="00EF26BC" w:rsidRDefault="00343DF1">
      <w:pPr>
        <w:ind w:left="3700"/>
        <w:rPr>
          <w:sz w:val="20"/>
          <w:szCs w:val="20"/>
        </w:rPr>
      </w:pPr>
      <w:bookmarkStart w:id="15" w:name="page16"/>
      <w:bookmarkEnd w:id="15"/>
      <w:r>
        <w:rPr>
          <w:rFonts w:ascii="Arial" w:eastAsia="Arial" w:hAnsi="Arial" w:cs="Arial"/>
          <w:sz w:val="20"/>
          <w:szCs w:val="20"/>
        </w:rPr>
        <w:lastRenderedPageBreak/>
        <w:t>Marcela Piedra Durán</w:t>
      </w:r>
    </w:p>
    <w:p w14:paraId="78AE98AE" w14:textId="77777777" w:rsidR="00EF26BC" w:rsidRDefault="00EF26BC">
      <w:pPr>
        <w:spacing w:line="200" w:lineRule="exact"/>
        <w:rPr>
          <w:sz w:val="20"/>
          <w:szCs w:val="20"/>
        </w:rPr>
      </w:pPr>
    </w:p>
    <w:p w14:paraId="78AE98AF" w14:textId="77777777" w:rsidR="00EF26BC" w:rsidRDefault="00EF26BC">
      <w:pPr>
        <w:spacing w:line="331" w:lineRule="exact"/>
        <w:rPr>
          <w:sz w:val="20"/>
          <w:szCs w:val="20"/>
        </w:rPr>
      </w:pPr>
    </w:p>
    <w:p w14:paraId="78AE98B0" w14:textId="77777777" w:rsidR="00EF26BC" w:rsidRDefault="00343DF1">
      <w:pPr>
        <w:ind w:right="1000"/>
        <w:jc w:val="center"/>
        <w:rPr>
          <w:sz w:val="20"/>
          <w:szCs w:val="20"/>
        </w:rPr>
      </w:pPr>
      <w:r>
        <w:rPr>
          <w:rFonts w:eastAsia="Times New Roman"/>
          <w:b/>
          <w:bCs/>
        </w:rPr>
        <w:t>Gráfico N°7.</w:t>
      </w:r>
    </w:p>
    <w:p w14:paraId="78AE98B1" w14:textId="77777777" w:rsidR="00EF26BC" w:rsidRDefault="00EF26BC">
      <w:pPr>
        <w:spacing w:line="37" w:lineRule="exact"/>
        <w:rPr>
          <w:sz w:val="20"/>
          <w:szCs w:val="20"/>
        </w:rPr>
      </w:pPr>
    </w:p>
    <w:p w14:paraId="78AE98B2" w14:textId="77777777" w:rsidR="00EF26BC" w:rsidRDefault="00343DF1">
      <w:pPr>
        <w:spacing w:line="246" w:lineRule="auto"/>
        <w:ind w:left="820" w:right="1820"/>
        <w:jc w:val="center"/>
        <w:rPr>
          <w:sz w:val="20"/>
          <w:szCs w:val="20"/>
        </w:rPr>
      </w:pPr>
      <w:r>
        <w:rPr>
          <w:rFonts w:eastAsia="Times New Roman"/>
          <w:b/>
          <w:bCs/>
        </w:rPr>
        <w:t xml:space="preserve">Porcentaje de </w:t>
      </w:r>
      <w:r>
        <w:rPr>
          <w:rFonts w:eastAsia="Times New Roman"/>
          <w:b/>
          <w:bCs/>
        </w:rPr>
        <w:t>actuaciones policiales por casos de Violencia Doméstica o violaciones de medidas de protección de la Fuerza según tipo de ley y sexo de las personas ofendidas para el periodo 2016-2017</w:t>
      </w:r>
    </w:p>
    <w:p w14:paraId="78AE98B3" w14:textId="77777777" w:rsidR="00EF26BC" w:rsidRDefault="00343DF1">
      <w:pPr>
        <w:spacing w:line="20" w:lineRule="exact"/>
        <w:rPr>
          <w:sz w:val="20"/>
          <w:szCs w:val="20"/>
        </w:rPr>
      </w:pPr>
      <w:r>
        <w:rPr>
          <w:noProof/>
          <w:sz w:val="20"/>
          <w:szCs w:val="20"/>
        </w:rPr>
        <w:drawing>
          <wp:anchor distT="0" distB="0" distL="114300" distR="114300" simplePos="0" relativeHeight="251661312" behindDoc="1" locked="0" layoutInCell="0" allowOverlap="1" wp14:anchorId="78AE9C45" wp14:editId="78AE9C46">
            <wp:simplePos x="0" y="0"/>
            <wp:positionH relativeFrom="column">
              <wp:posOffset>520700</wp:posOffset>
            </wp:positionH>
            <wp:positionV relativeFrom="paragraph">
              <wp:posOffset>40005</wp:posOffset>
            </wp:positionV>
            <wp:extent cx="4962525" cy="35985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962525" cy="3598545"/>
                    </a:xfrm>
                    <a:prstGeom prst="rect">
                      <a:avLst/>
                    </a:prstGeom>
                    <a:noFill/>
                  </pic:spPr>
                </pic:pic>
              </a:graphicData>
            </a:graphic>
          </wp:anchor>
        </w:drawing>
      </w:r>
    </w:p>
    <w:p w14:paraId="78AE98B4" w14:textId="77777777" w:rsidR="00EF26BC" w:rsidRDefault="00EF26BC">
      <w:pPr>
        <w:spacing w:line="200" w:lineRule="exact"/>
        <w:rPr>
          <w:sz w:val="20"/>
          <w:szCs w:val="20"/>
        </w:rPr>
      </w:pPr>
    </w:p>
    <w:p w14:paraId="78AE98B5" w14:textId="77777777" w:rsidR="00EF26BC" w:rsidRDefault="00EF26BC">
      <w:pPr>
        <w:spacing w:line="200" w:lineRule="exact"/>
        <w:rPr>
          <w:sz w:val="20"/>
          <w:szCs w:val="20"/>
        </w:rPr>
      </w:pPr>
    </w:p>
    <w:p w14:paraId="78AE98B6" w14:textId="77777777" w:rsidR="00EF26BC" w:rsidRDefault="00EF26BC">
      <w:pPr>
        <w:spacing w:line="235" w:lineRule="exact"/>
        <w:rPr>
          <w:sz w:val="20"/>
          <w:szCs w:val="20"/>
        </w:rPr>
      </w:pPr>
    </w:p>
    <w:p w14:paraId="78AE98B7" w14:textId="77777777" w:rsidR="00EF26BC" w:rsidRDefault="00343DF1">
      <w:pPr>
        <w:tabs>
          <w:tab w:val="left" w:pos="7660"/>
        </w:tabs>
        <w:ind w:left="5840"/>
        <w:rPr>
          <w:sz w:val="20"/>
          <w:szCs w:val="20"/>
        </w:rPr>
      </w:pPr>
      <w:r>
        <w:rPr>
          <w:rFonts w:ascii="Calibri" w:eastAsia="Calibri" w:hAnsi="Calibri" w:cs="Calibri"/>
          <w:color w:val="404040"/>
          <w:sz w:val="16"/>
          <w:szCs w:val="16"/>
        </w:rPr>
        <w:t>95,296,1</w:t>
      </w:r>
      <w:r>
        <w:rPr>
          <w:sz w:val="20"/>
          <w:szCs w:val="20"/>
        </w:rPr>
        <w:tab/>
      </w:r>
      <w:r>
        <w:rPr>
          <w:rFonts w:ascii="Calibri" w:eastAsia="Calibri" w:hAnsi="Calibri" w:cs="Calibri"/>
          <w:color w:val="404040"/>
          <w:vertAlign w:val="superscript"/>
        </w:rPr>
        <w:t>97,498,1</w:t>
      </w:r>
    </w:p>
    <w:p w14:paraId="78AE98B8" w14:textId="77777777" w:rsidR="00EF26BC" w:rsidRDefault="00EF26BC">
      <w:pPr>
        <w:spacing w:line="116" w:lineRule="exact"/>
        <w:rPr>
          <w:sz w:val="20"/>
          <w:szCs w:val="20"/>
        </w:rPr>
      </w:pPr>
    </w:p>
    <w:p w14:paraId="78AE98B9" w14:textId="77777777" w:rsidR="00EF26BC" w:rsidRDefault="00343DF1">
      <w:pPr>
        <w:tabs>
          <w:tab w:val="left" w:pos="3980"/>
        </w:tabs>
        <w:ind w:left="2160"/>
        <w:rPr>
          <w:sz w:val="20"/>
          <w:szCs w:val="20"/>
        </w:rPr>
      </w:pPr>
      <w:r>
        <w:rPr>
          <w:rFonts w:ascii="Calibri" w:eastAsia="Calibri" w:hAnsi="Calibri" w:cs="Calibri"/>
          <w:color w:val="404040"/>
          <w:sz w:val="16"/>
          <w:szCs w:val="16"/>
        </w:rPr>
        <w:t>80,7</w:t>
      </w:r>
      <w:r>
        <w:rPr>
          <w:rFonts w:ascii="Calibri" w:eastAsia="Calibri" w:hAnsi="Calibri" w:cs="Calibri"/>
          <w:color w:val="404040"/>
          <w:sz w:val="31"/>
          <w:szCs w:val="31"/>
          <w:vertAlign w:val="subscript"/>
        </w:rPr>
        <w:t>78,9</w:t>
      </w:r>
      <w:r>
        <w:rPr>
          <w:sz w:val="20"/>
          <w:szCs w:val="20"/>
        </w:rPr>
        <w:tab/>
      </w:r>
      <w:r>
        <w:rPr>
          <w:rFonts w:ascii="Calibri" w:eastAsia="Calibri" w:hAnsi="Calibri" w:cs="Calibri"/>
          <w:color w:val="404040"/>
          <w:sz w:val="18"/>
          <w:szCs w:val="18"/>
          <w:vertAlign w:val="superscript"/>
        </w:rPr>
        <w:t>85,8</w:t>
      </w:r>
      <w:r>
        <w:rPr>
          <w:rFonts w:ascii="Calibri" w:eastAsia="Calibri" w:hAnsi="Calibri" w:cs="Calibri"/>
          <w:color w:val="404040"/>
          <w:sz w:val="18"/>
          <w:szCs w:val="18"/>
        </w:rPr>
        <w:t>81,0</w:t>
      </w:r>
    </w:p>
    <w:p w14:paraId="78AE98BA" w14:textId="77777777" w:rsidR="00EF26BC" w:rsidRDefault="00EF26BC">
      <w:pPr>
        <w:spacing w:line="200" w:lineRule="exact"/>
        <w:rPr>
          <w:sz w:val="20"/>
          <w:szCs w:val="20"/>
        </w:rPr>
      </w:pPr>
    </w:p>
    <w:p w14:paraId="78AE98BB" w14:textId="77777777" w:rsidR="00EF26BC" w:rsidRDefault="00EF26BC">
      <w:pPr>
        <w:spacing w:line="200" w:lineRule="exact"/>
        <w:rPr>
          <w:sz w:val="20"/>
          <w:szCs w:val="20"/>
        </w:rPr>
      </w:pPr>
    </w:p>
    <w:p w14:paraId="78AE98BC" w14:textId="77777777" w:rsidR="00EF26BC" w:rsidRDefault="00EF26BC">
      <w:pPr>
        <w:spacing w:line="200" w:lineRule="exact"/>
        <w:rPr>
          <w:sz w:val="20"/>
          <w:szCs w:val="20"/>
        </w:rPr>
      </w:pPr>
    </w:p>
    <w:p w14:paraId="78AE98BD" w14:textId="77777777" w:rsidR="00EF26BC" w:rsidRDefault="00EF26BC">
      <w:pPr>
        <w:spacing w:line="200" w:lineRule="exact"/>
        <w:rPr>
          <w:sz w:val="20"/>
          <w:szCs w:val="20"/>
        </w:rPr>
      </w:pPr>
    </w:p>
    <w:p w14:paraId="78AE98BE" w14:textId="77777777" w:rsidR="00EF26BC" w:rsidRDefault="00EF26BC">
      <w:pPr>
        <w:spacing w:line="200" w:lineRule="exact"/>
        <w:rPr>
          <w:sz w:val="20"/>
          <w:szCs w:val="20"/>
        </w:rPr>
      </w:pPr>
    </w:p>
    <w:p w14:paraId="78AE98BF" w14:textId="77777777" w:rsidR="00EF26BC" w:rsidRDefault="00EF26BC">
      <w:pPr>
        <w:spacing w:line="382" w:lineRule="exact"/>
        <w:rPr>
          <w:sz w:val="20"/>
          <w:szCs w:val="20"/>
        </w:rPr>
      </w:pPr>
    </w:p>
    <w:tbl>
      <w:tblPr>
        <w:tblW w:w="0" w:type="auto"/>
        <w:tblInd w:w="1180" w:type="dxa"/>
        <w:tblLayout w:type="fixed"/>
        <w:tblCellMar>
          <w:left w:w="0" w:type="dxa"/>
          <w:right w:w="0" w:type="dxa"/>
        </w:tblCellMar>
        <w:tblLook w:val="04A0" w:firstRow="1" w:lastRow="0" w:firstColumn="1" w:lastColumn="0" w:noHBand="0" w:noVBand="1"/>
      </w:tblPr>
      <w:tblGrid>
        <w:gridCol w:w="1700"/>
        <w:gridCol w:w="20"/>
        <w:gridCol w:w="1300"/>
        <w:gridCol w:w="100"/>
        <w:gridCol w:w="420"/>
        <w:gridCol w:w="100"/>
        <w:gridCol w:w="100"/>
        <w:gridCol w:w="1640"/>
        <w:gridCol w:w="20"/>
        <w:gridCol w:w="1800"/>
        <w:gridCol w:w="20"/>
      </w:tblGrid>
      <w:tr w:rsidR="00EF26BC" w14:paraId="78AE98C9" w14:textId="77777777">
        <w:trPr>
          <w:trHeight w:val="445"/>
        </w:trPr>
        <w:tc>
          <w:tcPr>
            <w:tcW w:w="1700" w:type="dxa"/>
            <w:vAlign w:val="bottom"/>
          </w:tcPr>
          <w:p w14:paraId="78AE98C0" w14:textId="77777777" w:rsidR="00EF26BC" w:rsidRDefault="00343DF1">
            <w:pPr>
              <w:ind w:right="1012"/>
              <w:jc w:val="right"/>
              <w:rPr>
                <w:sz w:val="20"/>
                <w:szCs w:val="20"/>
              </w:rPr>
            </w:pPr>
            <w:r>
              <w:rPr>
                <w:rFonts w:ascii="Calibri" w:eastAsia="Calibri" w:hAnsi="Calibri" w:cs="Calibri"/>
                <w:color w:val="404040"/>
                <w:w w:val="89"/>
                <w:sz w:val="31"/>
                <w:szCs w:val="31"/>
                <w:vertAlign w:val="subscript"/>
              </w:rPr>
              <w:t>19,3</w:t>
            </w:r>
            <w:r>
              <w:rPr>
                <w:rFonts w:ascii="Calibri" w:eastAsia="Calibri" w:hAnsi="Calibri" w:cs="Calibri"/>
                <w:color w:val="404040"/>
                <w:w w:val="89"/>
                <w:sz w:val="16"/>
                <w:szCs w:val="16"/>
              </w:rPr>
              <w:t>21,1</w:t>
            </w:r>
          </w:p>
        </w:tc>
        <w:tc>
          <w:tcPr>
            <w:tcW w:w="1320" w:type="dxa"/>
            <w:gridSpan w:val="2"/>
            <w:vAlign w:val="bottom"/>
          </w:tcPr>
          <w:p w14:paraId="78AE98C1" w14:textId="77777777" w:rsidR="00EF26BC" w:rsidRDefault="00343DF1">
            <w:pPr>
              <w:ind w:right="489"/>
              <w:jc w:val="right"/>
              <w:rPr>
                <w:sz w:val="20"/>
                <w:szCs w:val="20"/>
              </w:rPr>
            </w:pPr>
            <w:r>
              <w:rPr>
                <w:rFonts w:ascii="Calibri" w:eastAsia="Calibri" w:hAnsi="Calibri" w:cs="Calibri"/>
                <w:color w:val="404040"/>
                <w:sz w:val="16"/>
                <w:szCs w:val="16"/>
              </w:rPr>
              <w:t>19,0</w:t>
            </w:r>
          </w:p>
        </w:tc>
        <w:tc>
          <w:tcPr>
            <w:tcW w:w="100" w:type="dxa"/>
            <w:vAlign w:val="bottom"/>
          </w:tcPr>
          <w:p w14:paraId="78AE98C2" w14:textId="77777777" w:rsidR="00EF26BC" w:rsidRDefault="00EF26BC">
            <w:pPr>
              <w:rPr>
                <w:sz w:val="24"/>
                <w:szCs w:val="24"/>
              </w:rPr>
            </w:pPr>
          </w:p>
        </w:tc>
        <w:tc>
          <w:tcPr>
            <w:tcW w:w="420" w:type="dxa"/>
            <w:vAlign w:val="bottom"/>
          </w:tcPr>
          <w:p w14:paraId="78AE98C3" w14:textId="77777777" w:rsidR="00EF26BC" w:rsidRDefault="00EF26BC">
            <w:pPr>
              <w:rPr>
                <w:sz w:val="24"/>
                <w:szCs w:val="24"/>
              </w:rPr>
            </w:pPr>
          </w:p>
        </w:tc>
        <w:tc>
          <w:tcPr>
            <w:tcW w:w="100" w:type="dxa"/>
            <w:vAlign w:val="bottom"/>
          </w:tcPr>
          <w:p w14:paraId="78AE98C4" w14:textId="77777777" w:rsidR="00EF26BC" w:rsidRDefault="00EF26BC">
            <w:pPr>
              <w:rPr>
                <w:sz w:val="24"/>
                <w:szCs w:val="24"/>
              </w:rPr>
            </w:pPr>
          </w:p>
        </w:tc>
        <w:tc>
          <w:tcPr>
            <w:tcW w:w="100" w:type="dxa"/>
            <w:vAlign w:val="bottom"/>
          </w:tcPr>
          <w:p w14:paraId="78AE98C5" w14:textId="77777777" w:rsidR="00EF26BC" w:rsidRDefault="00EF26BC">
            <w:pPr>
              <w:rPr>
                <w:sz w:val="24"/>
                <w:szCs w:val="24"/>
              </w:rPr>
            </w:pPr>
          </w:p>
        </w:tc>
        <w:tc>
          <w:tcPr>
            <w:tcW w:w="1640" w:type="dxa"/>
            <w:vAlign w:val="bottom"/>
          </w:tcPr>
          <w:p w14:paraId="78AE98C6" w14:textId="77777777" w:rsidR="00EF26BC" w:rsidRDefault="00EF26BC">
            <w:pPr>
              <w:rPr>
                <w:sz w:val="24"/>
                <w:szCs w:val="24"/>
              </w:rPr>
            </w:pPr>
          </w:p>
        </w:tc>
        <w:tc>
          <w:tcPr>
            <w:tcW w:w="1820" w:type="dxa"/>
            <w:gridSpan w:val="2"/>
            <w:vAlign w:val="bottom"/>
          </w:tcPr>
          <w:p w14:paraId="78AE98C7" w14:textId="77777777" w:rsidR="00EF26BC" w:rsidRDefault="00343DF1">
            <w:pPr>
              <w:ind w:right="949"/>
              <w:jc w:val="right"/>
              <w:rPr>
                <w:sz w:val="20"/>
                <w:szCs w:val="20"/>
              </w:rPr>
            </w:pPr>
            <w:r>
              <w:rPr>
                <w:rFonts w:ascii="Calibri" w:eastAsia="Calibri" w:hAnsi="Calibri" w:cs="Calibri"/>
                <w:color w:val="404040"/>
                <w:sz w:val="16"/>
                <w:szCs w:val="16"/>
              </w:rPr>
              <w:t>19,26</w:t>
            </w:r>
          </w:p>
        </w:tc>
        <w:tc>
          <w:tcPr>
            <w:tcW w:w="0" w:type="dxa"/>
            <w:vAlign w:val="bottom"/>
          </w:tcPr>
          <w:p w14:paraId="78AE98C8" w14:textId="77777777" w:rsidR="00EF26BC" w:rsidRDefault="00EF26BC">
            <w:pPr>
              <w:rPr>
                <w:sz w:val="1"/>
                <w:szCs w:val="1"/>
              </w:rPr>
            </w:pPr>
          </w:p>
        </w:tc>
      </w:tr>
      <w:tr w:rsidR="00EF26BC" w14:paraId="78AE98D1" w14:textId="77777777">
        <w:trPr>
          <w:trHeight w:val="466"/>
        </w:trPr>
        <w:tc>
          <w:tcPr>
            <w:tcW w:w="1700" w:type="dxa"/>
            <w:vAlign w:val="bottom"/>
          </w:tcPr>
          <w:p w14:paraId="78AE98CA" w14:textId="77777777" w:rsidR="00EF26BC" w:rsidRDefault="00EF26BC">
            <w:pPr>
              <w:rPr>
                <w:sz w:val="24"/>
                <w:szCs w:val="24"/>
              </w:rPr>
            </w:pPr>
          </w:p>
        </w:tc>
        <w:tc>
          <w:tcPr>
            <w:tcW w:w="1320" w:type="dxa"/>
            <w:gridSpan w:val="2"/>
            <w:vAlign w:val="bottom"/>
          </w:tcPr>
          <w:p w14:paraId="78AE98CB" w14:textId="77777777" w:rsidR="00EF26BC" w:rsidRDefault="00343DF1">
            <w:pPr>
              <w:ind w:right="789"/>
              <w:jc w:val="right"/>
              <w:rPr>
                <w:sz w:val="20"/>
                <w:szCs w:val="20"/>
              </w:rPr>
            </w:pPr>
            <w:r>
              <w:rPr>
                <w:rFonts w:ascii="Calibri" w:eastAsia="Calibri" w:hAnsi="Calibri" w:cs="Calibri"/>
                <w:color w:val="404040"/>
                <w:sz w:val="16"/>
                <w:szCs w:val="16"/>
              </w:rPr>
              <w:t>5,9</w:t>
            </w:r>
          </w:p>
        </w:tc>
        <w:tc>
          <w:tcPr>
            <w:tcW w:w="100" w:type="dxa"/>
            <w:vAlign w:val="bottom"/>
          </w:tcPr>
          <w:p w14:paraId="78AE98CC" w14:textId="77777777" w:rsidR="00EF26BC" w:rsidRDefault="00EF26BC">
            <w:pPr>
              <w:rPr>
                <w:sz w:val="24"/>
                <w:szCs w:val="24"/>
              </w:rPr>
            </w:pPr>
          </w:p>
        </w:tc>
        <w:tc>
          <w:tcPr>
            <w:tcW w:w="420" w:type="dxa"/>
            <w:vAlign w:val="bottom"/>
          </w:tcPr>
          <w:p w14:paraId="78AE98CD" w14:textId="77777777" w:rsidR="00EF26BC" w:rsidRDefault="00EF26BC">
            <w:pPr>
              <w:rPr>
                <w:sz w:val="24"/>
                <w:szCs w:val="24"/>
              </w:rPr>
            </w:pPr>
          </w:p>
        </w:tc>
        <w:tc>
          <w:tcPr>
            <w:tcW w:w="1840" w:type="dxa"/>
            <w:gridSpan w:val="3"/>
            <w:vAlign w:val="bottom"/>
          </w:tcPr>
          <w:p w14:paraId="78AE98CE" w14:textId="77777777" w:rsidR="00EF26BC" w:rsidRDefault="00343DF1">
            <w:pPr>
              <w:ind w:left="240"/>
              <w:rPr>
                <w:sz w:val="20"/>
                <w:szCs w:val="20"/>
              </w:rPr>
            </w:pPr>
            <w:r>
              <w:rPr>
                <w:rFonts w:ascii="Calibri" w:eastAsia="Calibri" w:hAnsi="Calibri" w:cs="Calibri"/>
                <w:color w:val="404040"/>
                <w:sz w:val="16"/>
                <w:szCs w:val="16"/>
              </w:rPr>
              <w:t>4,8 3,9</w:t>
            </w:r>
          </w:p>
        </w:tc>
        <w:tc>
          <w:tcPr>
            <w:tcW w:w="1820" w:type="dxa"/>
            <w:gridSpan w:val="2"/>
            <w:vAlign w:val="bottom"/>
          </w:tcPr>
          <w:p w14:paraId="78AE98CF" w14:textId="77777777" w:rsidR="00EF26BC" w:rsidRDefault="00343DF1">
            <w:pPr>
              <w:ind w:right="1249"/>
              <w:jc w:val="right"/>
              <w:rPr>
                <w:sz w:val="20"/>
                <w:szCs w:val="20"/>
              </w:rPr>
            </w:pPr>
            <w:r>
              <w:rPr>
                <w:rFonts w:ascii="Calibri" w:eastAsia="Calibri" w:hAnsi="Calibri" w:cs="Calibri"/>
                <w:color w:val="404040"/>
                <w:sz w:val="16"/>
                <w:szCs w:val="16"/>
              </w:rPr>
              <w:t>3,45</w:t>
            </w:r>
          </w:p>
        </w:tc>
        <w:tc>
          <w:tcPr>
            <w:tcW w:w="0" w:type="dxa"/>
            <w:vAlign w:val="bottom"/>
          </w:tcPr>
          <w:p w14:paraId="78AE98D0" w14:textId="77777777" w:rsidR="00EF26BC" w:rsidRDefault="00EF26BC">
            <w:pPr>
              <w:rPr>
                <w:sz w:val="1"/>
                <w:szCs w:val="1"/>
              </w:rPr>
            </w:pPr>
          </w:p>
        </w:tc>
      </w:tr>
      <w:tr w:rsidR="00EF26BC" w14:paraId="78AE98DA" w14:textId="77777777">
        <w:trPr>
          <w:trHeight w:val="188"/>
        </w:trPr>
        <w:tc>
          <w:tcPr>
            <w:tcW w:w="1700" w:type="dxa"/>
            <w:vMerge w:val="restart"/>
            <w:vAlign w:val="bottom"/>
          </w:tcPr>
          <w:p w14:paraId="78AE98D2" w14:textId="77777777" w:rsidR="00EF26BC" w:rsidRDefault="00343DF1">
            <w:pPr>
              <w:rPr>
                <w:sz w:val="20"/>
                <w:szCs w:val="20"/>
              </w:rPr>
            </w:pPr>
            <w:r>
              <w:rPr>
                <w:rFonts w:ascii="Calibri" w:eastAsia="Calibri" w:hAnsi="Calibri" w:cs="Calibri"/>
                <w:color w:val="595959"/>
                <w:sz w:val="18"/>
                <w:szCs w:val="18"/>
              </w:rPr>
              <w:t>Hombres   Mujeres</w:t>
            </w:r>
          </w:p>
        </w:tc>
        <w:tc>
          <w:tcPr>
            <w:tcW w:w="20" w:type="dxa"/>
            <w:vAlign w:val="bottom"/>
          </w:tcPr>
          <w:p w14:paraId="78AE98D3" w14:textId="77777777" w:rsidR="00EF26BC" w:rsidRDefault="00EF26BC">
            <w:pPr>
              <w:rPr>
                <w:sz w:val="16"/>
                <w:szCs w:val="16"/>
              </w:rPr>
            </w:pPr>
          </w:p>
        </w:tc>
        <w:tc>
          <w:tcPr>
            <w:tcW w:w="1820" w:type="dxa"/>
            <w:gridSpan w:val="3"/>
            <w:vMerge w:val="restart"/>
            <w:vAlign w:val="bottom"/>
          </w:tcPr>
          <w:p w14:paraId="78AE98D4" w14:textId="77777777" w:rsidR="00EF26BC" w:rsidRDefault="00343DF1">
            <w:pPr>
              <w:jc w:val="center"/>
              <w:rPr>
                <w:sz w:val="20"/>
                <w:szCs w:val="20"/>
              </w:rPr>
            </w:pPr>
            <w:r>
              <w:rPr>
                <w:rFonts w:ascii="Calibri" w:eastAsia="Calibri" w:hAnsi="Calibri" w:cs="Calibri"/>
                <w:color w:val="595959"/>
                <w:sz w:val="18"/>
                <w:szCs w:val="18"/>
              </w:rPr>
              <w:t>Hombres   Mujeres</w:t>
            </w:r>
          </w:p>
        </w:tc>
        <w:tc>
          <w:tcPr>
            <w:tcW w:w="100" w:type="dxa"/>
            <w:vAlign w:val="bottom"/>
          </w:tcPr>
          <w:p w14:paraId="78AE98D5" w14:textId="77777777" w:rsidR="00EF26BC" w:rsidRDefault="00EF26BC">
            <w:pPr>
              <w:rPr>
                <w:sz w:val="16"/>
                <w:szCs w:val="16"/>
              </w:rPr>
            </w:pPr>
          </w:p>
        </w:tc>
        <w:tc>
          <w:tcPr>
            <w:tcW w:w="1740" w:type="dxa"/>
            <w:gridSpan w:val="2"/>
            <w:vMerge w:val="restart"/>
            <w:vAlign w:val="bottom"/>
          </w:tcPr>
          <w:p w14:paraId="78AE98D6" w14:textId="77777777" w:rsidR="00EF26BC" w:rsidRDefault="00343DF1">
            <w:pPr>
              <w:ind w:left="40"/>
              <w:rPr>
                <w:sz w:val="20"/>
                <w:szCs w:val="20"/>
              </w:rPr>
            </w:pPr>
            <w:r>
              <w:rPr>
                <w:rFonts w:ascii="Calibri" w:eastAsia="Calibri" w:hAnsi="Calibri" w:cs="Calibri"/>
                <w:color w:val="595959"/>
                <w:sz w:val="18"/>
                <w:szCs w:val="18"/>
              </w:rPr>
              <w:t>Hombres   Mujeres</w:t>
            </w:r>
          </w:p>
        </w:tc>
        <w:tc>
          <w:tcPr>
            <w:tcW w:w="20" w:type="dxa"/>
            <w:vAlign w:val="bottom"/>
          </w:tcPr>
          <w:p w14:paraId="78AE98D7" w14:textId="77777777" w:rsidR="00EF26BC" w:rsidRDefault="00EF26BC">
            <w:pPr>
              <w:rPr>
                <w:sz w:val="16"/>
                <w:szCs w:val="16"/>
              </w:rPr>
            </w:pPr>
          </w:p>
        </w:tc>
        <w:tc>
          <w:tcPr>
            <w:tcW w:w="1800" w:type="dxa"/>
            <w:vMerge w:val="restart"/>
            <w:vAlign w:val="bottom"/>
          </w:tcPr>
          <w:p w14:paraId="78AE98D8" w14:textId="77777777" w:rsidR="00EF26BC" w:rsidRDefault="00343DF1">
            <w:pPr>
              <w:jc w:val="center"/>
              <w:rPr>
                <w:sz w:val="20"/>
                <w:szCs w:val="20"/>
              </w:rPr>
            </w:pPr>
            <w:r>
              <w:rPr>
                <w:rFonts w:ascii="Calibri" w:eastAsia="Calibri" w:hAnsi="Calibri" w:cs="Calibri"/>
                <w:color w:val="595959"/>
                <w:sz w:val="18"/>
                <w:szCs w:val="18"/>
              </w:rPr>
              <w:t>Hombres   Mujeres</w:t>
            </w:r>
          </w:p>
        </w:tc>
        <w:tc>
          <w:tcPr>
            <w:tcW w:w="0" w:type="dxa"/>
            <w:vAlign w:val="bottom"/>
          </w:tcPr>
          <w:p w14:paraId="78AE98D9" w14:textId="77777777" w:rsidR="00EF26BC" w:rsidRDefault="00EF26BC">
            <w:pPr>
              <w:rPr>
                <w:sz w:val="1"/>
                <w:szCs w:val="1"/>
              </w:rPr>
            </w:pPr>
          </w:p>
        </w:tc>
      </w:tr>
      <w:tr w:rsidR="00EF26BC" w14:paraId="78AE98E3" w14:textId="77777777">
        <w:trPr>
          <w:trHeight w:val="343"/>
        </w:trPr>
        <w:tc>
          <w:tcPr>
            <w:tcW w:w="1700" w:type="dxa"/>
            <w:vMerge/>
            <w:vAlign w:val="bottom"/>
          </w:tcPr>
          <w:p w14:paraId="78AE98DB" w14:textId="77777777" w:rsidR="00EF26BC" w:rsidRDefault="00EF26BC">
            <w:pPr>
              <w:rPr>
                <w:sz w:val="24"/>
                <w:szCs w:val="24"/>
              </w:rPr>
            </w:pPr>
          </w:p>
        </w:tc>
        <w:tc>
          <w:tcPr>
            <w:tcW w:w="20" w:type="dxa"/>
            <w:shd w:val="clear" w:color="auto" w:fill="D9D9D9"/>
            <w:vAlign w:val="bottom"/>
          </w:tcPr>
          <w:p w14:paraId="78AE98DC" w14:textId="77777777" w:rsidR="00EF26BC" w:rsidRDefault="00EF26BC">
            <w:pPr>
              <w:rPr>
                <w:sz w:val="24"/>
                <w:szCs w:val="24"/>
              </w:rPr>
            </w:pPr>
          </w:p>
        </w:tc>
        <w:tc>
          <w:tcPr>
            <w:tcW w:w="1820" w:type="dxa"/>
            <w:gridSpan w:val="3"/>
            <w:vMerge/>
            <w:vAlign w:val="bottom"/>
          </w:tcPr>
          <w:p w14:paraId="78AE98DD" w14:textId="77777777" w:rsidR="00EF26BC" w:rsidRDefault="00EF26BC">
            <w:pPr>
              <w:rPr>
                <w:sz w:val="24"/>
                <w:szCs w:val="24"/>
              </w:rPr>
            </w:pPr>
          </w:p>
        </w:tc>
        <w:tc>
          <w:tcPr>
            <w:tcW w:w="100" w:type="dxa"/>
            <w:tcBorders>
              <w:left w:val="single" w:sz="8" w:space="0" w:color="D9D9D9"/>
            </w:tcBorders>
            <w:vAlign w:val="bottom"/>
          </w:tcPr>
          <w:p w14:paraId="78AE98DE" w14:textId="77777777" w:rsidR="00EF26BC" w:rsidRDefault="00EF26BC">
            <w:pPr>
              <w:rPr>
                <w:sz w:val="24"/>
                <w:szCs w:val="24"/>
              </w:rPr>
            </w:pPr>
          </w:p>
        </w:tc>
        <w:tc>
          <w:tcPr>
            <w:tcW w:w="1740" w:type="dxa"/>
            <w:gridSpan w:val="2"/>
            <w:vMerge/>
            <w:vAlign w:val="bottom"/>
          </w:tcPr>
          <w:p w14:paraId="78AE98DF" w14:textId="77777777" w:rsidR="00EF26BC" w:rsidRDefault="00EF26BC">
            <w:pPr>
              <w:rPr>
                <w:sz w:val="24"/>
                <w:szCs w:val="24"/>
              </w:rPr>
            </w:pPr>
          </w:p>
        </w:tc>
        <w:tc>
          <w:tcPr>
            <w:tcW w:w="20" w:type="dxa"/>
            <w:shd w:val="clear" w:color="auto" w:fill="D9D9D9"/>
            <w:vAlign w:val="bottom"/>
          </w:tcPr>
          <w:p w14:paraId="78AE98E0" w14:textId="77777777" w:rsidR="00EF26BC" w:rsidRDefault="00EF26BC">
            <w:pPr>
              <w:rPr>
                <w:sz w:val="24"/>
                <w:szCs w:val="24"/>
              </w:rPr>
            </w:pPr>
          </w:p>
        </w:tc>
        <w:tc>
          <w:tcPr>
            <w:tcW w:w="1800" w:type="dxa"/>
            <w:vMerge/>
            <w:vAlign w:val="bottom"/>
          </w:tcPr>
          <w:p w14:paraId="78AE98E1" w14:textId="77777777" w:rsidR="00EF26BC" w:rsidRDefault="00EF26BC">
            <w:pPr>
              <w:rPr>
                <w:sz w:val="24"/>
                <w:szCs w:val="24"/>
              </w:rPr>
            </w:pPr>
          </w:p>
        </w:tc>
        <w:tc>
          <w:tcPr>
            <w:tcW w:w="0" w:type="dxa"/>
            <w:vAlign w:val="bottom"/>
          </w:tcPr>
          <w:p w14:paraId="78AE98E2" w14:textId="77777777" w:rsidR="00EF26BC" w:rsidRDefault="00EF26BC">
            <w:pPr>
              <w:rPr>
                <w:sz w:val="1"/>
                <w:szCs w:val="1"/>
              </w:rPr>
            </w:pPr>
          </w:p>
        </w:tc>
      </w:tr>
      <w:tr w:rsidR="00EF26BC" w14:paraId="78AE98EC" w14:textId="77777777">
        <w:trPr>
          <w:trHeight w:val="330"/>
        </w:trPr>
        <w:tc>
          <w:tcPr>
            <w:tcW w:w="1700" w:type="dxa"/>
            <w:vAlign w:val="bottom"/>
          </w:tcPr>
          <w:p w14:paraId="78AE98E4" w14:textId="77777777" w:rsidR="00EF26BC" w:rsidRDefault="00343DF1">
            <w:pPr>
              <w:rPr>
                <w:sz w:val="20"/>
                <w:szCs w:val="20"/>
              </w:rPr>
            </w:pPr>
            <w:r>
              <w:rPr>
                <w:rFonts w:ascii="Calibri" w:eastAsia="Calibri" w:hAnsi="Calibri" w:cs="Calibri"/>
                <w:color w:val="595959"/>
                <w:sz w:val="18"/>
                <w:szCs w:val="18"/>
              </w:rPr>
              <w:t>actuaciones policiales</w:t>
            </w:r>
          </w:p>
        </w:tc>
        <w:tc>
          <w:tcPr>
            <w:tcW w:w="20" w:type="dxa"/>
            <w:shd w:val="clear" w:color="auto" w:fill="D9D9D9"/>
            <w:vAlign w:val="bottom"/>
          </w:tcPr>
          <w:p w14:paraId="78AE98E5" w14:textId="77777777" w:rsidR="00EF26BC" w:rsidRDefault="00EF26BC">
            <w:pPr>
              <w:rPr>
                <w:sz w:val="24"/>
                <w:szCs w:val="24"/>
              </w:rPr>
            </w:pPr>
          </w:p>
        </w:tc>
        <w:tc>
          <w:tcPr>
            <w:tcW w:w="1820" w:type="dxa"/>
            <w:gridSpan w:val="3"/>
            <w:vAlign w:val="bottom"/>
          </w:tcPr>
          <w:p w14:paraId="78AE98E6" w14:textId="77777777" w:rsidR="00EF26BC" w:rsidRDefault="00343DF1">
            <w:pPr>
              <w:jc w:val="center"/>
              <w:rPr>
                <w:sz w:val="20"/>
                <w:szCs w:val="20"/>
              </w:rPr>
            </w:pPr>
            <w:r>
              <w:rPr>
                <w:rFonts w:ascii="Calibri" w:eastAsia="Calibri" w:hAnsi="Calibri" w:cs="Calibri"/>
                <w:color w:val="595959"/>
                <w:sz w:val="18"/>
                <w:szCs w:val="18"/>
              </w:rPr>
              <w:t>violación de medidas de</w:t>
            </w:r>
          </w:p>
        </w:tc>
        <w:tc>
          <w:tcPr>
            <w:tcW w:w="100" w:type="dxa"/>
            <w:tcBorders>
              <w:left w:val="single" w:sz="8" w:space="0" w:color="D9D9D9"/>
            </w:tcBorders>
            <w:vAlign w:val="bottom"/>
          </w:tcPr>
          <w:p w14:paraId="78AE98E7" w14:textId="77777777" w:rsidR="00EF26BC" w:rsidRDefault="00EF26BC">
            <w:pPr>
              <w:rPr>
                <w:sz w:val="24"/>
                <w:szCs w:val="24"/>
              </w:rPr>
            </w:pPr>
          </w:p>
        </w:tc>
        <w:tc>
          <w:tcPr>
            <w:tcW w:w="1740" w:type="dxa"/>
            <w:gridSpan w:val="2"/>
            <w:vAlign w:val="bottom"/>
          </w:tcPr>
          <w:p w14:paraId="78AE98E8" w14:textId="77777777" w:rsidR="00EF26BC" w:rsidRDefault="00343DF1">
            <w:pPr>
              <w:ind w:left="40"/>
              <w:rPr>
                <w:sz w:val="20"/>
                <w:szCs w:val="20"/>
              </w:rPr>
            </w:pPr>
            <w:r>
              <w:rPr>
                <w:rFonts w:ascii="Calibri" w:eastAsia="Calibri" w:hAnsi="Calibri" w:cs="Calibri"/>
                <w:color w:val="595959"/>
                <w:sz w:val="18"/>
                <w:szCs w:val="18"/>
              </w:rPr>
              <w:t>actuaciones policiales</w:t>
            </w:r>
          </w:p>
        </w:tc>
        <w:tc>
          <w:tcPr>
            <w:tcW w:w="20" w:type="dxa"/>
            <w:shd w:val="clear" w:color="auto" w:fill="D9D9D9"/>
            <w:vAlign w:val="bottom"/>
          </w:tcPr>
          <w:p w14:paraId="78AE98E9" w14:textId="77777777" w:rsidR="00EF26BC" w:rsidRDefault="00EF26BC">
            <w:pPr>
              <w:rPr>
                <w:sz w:val="24"/>
                <w:szCs w:val="24"/>
              </w:rPr>
            </w:pPr>
          </w:p>
        </w:tc>
        <w:tc>
          <w:tcPr>
            <w:tcW w:w="1800" w:type="dxa"/>
            <w:vAlign w:val="bottom"/>
          </w:tcPr>
          <w:p w14:paraId="78AE98EA" w14:textId="77777777" w:rsidR="00EF26BC" w:rsidRDefault="00343DF1">
            <w:pPr>
              <w:jc w:val="center"/>
              <w:rPr>
                <w:sz w:val="20"/>
                <w:szCs w:val="20"/>
              </w:rPr>
            </w:pPr>
            <w:r>
              <w:rPr>
                <w:rFonts w:ascii="Calibri" w:eastAsia="Calibri" w:hAnsi="Calibri" w:cs="Calibri"/>
                <w:color w:val="595959"/>
                <w:sz w:val="18"/>
                <w:szCs w:val="18"/>
              </w:rPr>
              <w:t>violación de medidas de</w:t>
            </w:r>
          </w:p>
        </w:tc>
        <w:tc>
          <w:tcPr>
            <w:tcW w:w="0" w:type="dxa"/>
            <w:vAlign w:val="bottom"/>
          </w:tcPr>
          <w:p w14:paraId="78AE98EB" w14:textId="77777777" w:rsidR="00EF26BC" w:rsidRDefault="00EF26BC">
            <w:pPr>
              <w:rPr>
                <w:sz w:val="1"/>
                <w:szCs w:val="1"/>
              </w:rPr>
            </w:pPr>
          </w:p>
        </w:tc>
      </w:tr>
      <w:tr w:rsidR="00EF26BC" w14:paraId="78AE98F6" w14:textId="77777777">
        <w:trPr>
          <w:trHeight w:val="245"/>
        </w:trPr>
        <w:tc>
          <w:tcPr>
            <w:tcW w:w="1700" w:type="dxa"/>
            <w:vAlign w:val="bottom"/>
          </w:tcPr>
          <w:p w14:paraId="78AE98ED" w14:textId="77777777" w:rsidR="00EF26BC" w:rsidRDefault="00EF26BC">
            <w:pPr>
              <w:rPr>
                <w:sz w:val="21"/>
                <w:szCs w:val="21"/>
              </w:rPr>
            </w:pPr>
          </w:p>
        </w:tc>
        <w:tc>
          <w:tcPr>
            <w:tcW w:w="20" w:type="dxa"/>
            <w:shd w:val="clear" w:color="auto" w:fill="D9D9D9"/>
            <w:vAlign w:val="bottom"/>
          </w:tcPr>
          <w:p w14:paraId="78AE98EE" w14:textId="77777777" w:rsidR="00EF26BC" w:rsidRDefault="00EF26BC">
            <w:pPr>
              <w:rPr>
                <w:sz w:val="21"/>
                <w:szCs w:val="21"/>
              </w:rPr>
            </w:pPr>
          </w:p>
        </w:tc>
        <w:tc>
          <w:tcPr>
            <w:tcW w:w="1820" w:type="dxa"/>
            <w:gridSpan w:val="3"/>
            <w:vAlign w:val="bottom"/>
          </w:tcPr>
          <w:p w14:paraId="78AE98EF" w14:textId="77777777" w:rsidR="00EF26BC" w:rsidRDefault="00343DF1">
            <w:pPr>
              <w:jc w:val="center"/>
              <w:rPr>
                <w:sz w:val="20"/>
                <w:szCs w:val="20"/>
              </w:rPr>
            </w:pPr>
            <w:r>
              <w:rPr>
                <w:rFonts w:ascii="Calibri" w:eastAsia="Calibri" w:hAnsi="Calibri" w:cs="Calibri"/>
                <w:color w:val="595959"/>
                <w:w w:val="99"/>
                <w:sz w:val="18"/>
                <w:szCs w:val="18"/>
              </w:rPr>
              <w:t>protección</w:t>
            </w:r>
          </w:p>
        </w:tc>
        <w:tc>
          <w:tcPr>
            <w:tcW w:w="100" w:type="dxa"/>
            <w:tcBorders>
              <w:left w:val="single" w:sz="8" w:space="0" w:color="D9D9D9"/>
            </w:tcBorders>
            <w:vAlign w:val="bottom"/>
          </w:tcPr>
          <w:p w14:paraId="78AE98F0" w14:textId="77777777" w:rsidR="00EF26BC" w:rsidRDefault="00EF26BC">
            <w:pPr>
              <w:rPr>
                <w:sz w:val="21"/>
                <w:szCs w:val="21"/>
              </w:rPr>
            </w:pPr>
          </w:p>
        </w:tc>
        <w:tc>
          <w:tcPr>
            <w:tcW w:w="100" w:type="dxa"/>
            <w:vAlign w:val="bottom"/>
          </w:tcPr>
          <w:p w14:paraId="78AE98F1" w14:textId="77777777" w:rsidR="00EF26BC" w:rsidRDefault="00EF26BC">
            <w:pPr>
              <w:rPr>
                <w:sz w:val="21"/>
                <w:szCs w:val="21"/>
              </w:rPr>
            </w:pPr>
          </w:p>
        </w:tc>
        <w:tc>
          <w:tcPr>
            <w:tcW w:w="1640" w:type="dxa"/>
            <w:vAlign w:val="bottom"/>
          </w:tcPr>
          <w:p w14:paraId="78AE98F2" w14:textId="77777777" w:rsidR="00EF26BC" w:rsidRDefault="00EF26BC">
            <w:pPr>
              <w:rPr>
                <w:sz w:val="21"/>
                <w:szCs w:val="21"/>
              </w:rPr>
            </w:pPr>
          </w:p>
        </w:tc>
        <w:tc>
          <w:tcPr>
            <w:tcW w:w="20" w:type="dxa"/>
            <w:shd w:val="clear" w:color="auto" w:fill="D9D9D9"/>
            <w:vAlign w:val="bottom"/>
          </w:tcPr>
          <w:p w14:paraId="78AE98F3" w14:textId="77777777" w:rsidR="00EF26BC" w:rsidRDefault="00EF26BC">
            <w:pPr>
              <w:rPr>
                <w:sz w:val="21"/>
                <w:szCs w:val="21"/>
              </w:rPr>
            </w:pPr>
          </w:p>
        </w:tc>
        <w:tc>
          <w:tcPr>
            <w:tcW w:w="1800" w:type="dxa"/>
            <w:vAlign w:val="bottom"/>
          </w:tcPr>
          <w:p w14:paraId="78AE98F4" w14:textId="77777777" w:rsidR="00EF26BC" w:rsidRDefault="00343DF1">
            <w:pPr>
              <w:jc w:val="center"/>
              <w:rPr>
                <w:sz w:val="20"/>
                <w:szCs w:val="20"/>
              </w:rPr>
            </w:pPr>
            <w:r>
              <w:rPr>
                <w:rFonts w:ascii="Calibri" w:eastAsia="Calibri" w:hAnsi="Calibri" w:cs="Calibri"/>
                <w:color w:val="595959"/>
                <w:w w:val="99"/>
                <w:sz w:val="18"/>
                <w:szCs w:val="18"/>
              </w:rPr>
              <w:t>protección</w:t>
            </w:r>
          </w:p>
        </w:tc>
        <w:tc>
          <w:tcPr>
            <w:tcW w:w="0" w:type="dxa"/>
            <w:vAlign w:val="bottom"/>
          </w:tcPr>
          <w:p w14:paraId="78AE98F5" w14:textId="77777777" w:rsidR="00EF26BC" w:rsidRDefault="00EF26BC">
            <w:pPr>
              <w:rPr>
                <w:sz w:val="1"/>
                <w:szCs w:val="1"/>
              </w:rPr>
            </w:pPr>
          </w:p>
        </w:tc>
      </w:tr>
      <w:tr w:rsidR="00EF26BC" w14:paraId="78AE98FA" w14:textId="77777777">
        <w:trPr>
          <w:trHeight w:val="349"/>
        </w:trPr>
        <w:tc>
          <w:tcPr>
            <w:tcW w:w="3540" w:type="dxa"/>
            <w:gridSpan w:val="5"/>
            <w:vAlign w:val="bottom"/>
          </w:tcPr>
          <w:p w14:paraId="78AE98F7" w14:textId="77777777" w:rsidR="00EF26BC" w:rsidRDefault="00343DF1">
            <w:pPr>
              <w:ind w:left="720"/>
              <w:rPr>
                <w:sz w:val="20"/>
                <w:szCs w:val="20"/>
              </w:rPr>
            </w:pPr>
            <w:r>
              <w:rPr>
                <w:rFonts w:ascii="Calibri" w:eastAsia="Calibri" w:hAnsi="Calibri" w:cs="Calibri"/>
                <w:color w:val="595959"/>
                <w:sz w:val="18"/>
                <w:szCs w:val="18"/>
              </w:rPr>
              <w:t xml:space="preserve">Ley de </w:t>
            </w:r>
            <w:r>
              <w:rPr>
                <w:rFonts w:ascii="Calibri" w:eastAsia="Calibri" w:hAnsi="Calibri" w:cs="Calibri"/>
                <w:color w:val="595959"/>
                <w:sz w:val="18"/>
                <w:szCs w:val="18"/>
              </w:rPr>
              <w:t>Violencia Doméstica</w:t>
            </w:r>
          </w:p>
        </w:tc>
        <w:tc>
          <w:tcPr>
            <w:tcW w:w="3660" w:type="dxa"/>
            <w:gridSpan w:val="5"/>
            <w:tcBorders>
              <w:left w:val="single" w:sz="8" w:space="0" w:color="D9D9D9"/>
            </w:tcBorders>
            <w:vAlign w:val="bottom"/>
          </w:tcPr>
          <w:p w14:paraId="78AE98F8" w14:textId="77777777" w:rsidR="00EF26BC" w:rsidRDefault="00343DF1">
            <w:pPr>
              <w:jc w:val="right"/>
              <w:rPr>
                <w:sz w:val="20"/>
                <w:szCs w:val="20"/>
              </w:rPr>
            </w:pPr>
            <w:r>
              <w:rPr>
                <w:rFonts w:ascii="Calibri" w:eastAsia="Calibri" w:hAnsi="Calibri" w:cs="Calibri"/>
                <w:color w:val="595959"/>
                <w:sz w:val="18"/>
                <w:szCs w:val="18"/>
              </w:rPr>
              <w:t>Ley de Penalización de Violencia contra la Mujer</w:t>
            </w:r>
          </w:p>
        </w:tc>
        <w:tc>
          <w:tcPr>
            <w:tcW w:w="0" w:type="dxa"/>
            <w:vAlign w:val="bottom"/>
          </w:tcPr>
          <w:p w14:paraId="78AE98F9" w14:textId="77777777" w:rsidR="00EF26BC" w:rsidRDefault="00EF26BC">
            <w:pPr>
              <w:rPr>
                <w:sz w:val="1"/>
                <w:szCs w:val="1"/>
              </w:rPr>
            </w:pPr>
          </w:p>
        </w:tc>
      </w:tr>
      <w:tr w:rsidR="00EF26BC" w14:paraId="78AE9905" w14:textId="77777777">
        <w:trPr>
          <w:trHeight w:val="219"/>
        </w:trPr>
        <w:tc>
          <w:tcPr>
            <w:tcW w:w="1700" w:type="dxa"/>
            <w:vAlign w:val="bottom"/>
          </w:tcPr>
          <w:p w14:paraId="78AE98FB" w14:textId="77777777" w:rsidR="00EF26BC" w:rsidRDefault="00EF26BC">
            <w:pPr>
              <w:rPr>
                <w:sz w:val="19"/>
                <w:szCs w:val="19"/>
              </w:rPr>
            </w:pPr>
          </w:p>
        </w:tc>
        <w:tc>
          <w:tcPr>
            <w:tcW w:w="1320" w:type="dxa"/>
            <w:gridSpan w:val="2"/>
            <w:vMerge w:val="restart"/>
            <w:vAlign w:val="bottom"/>
          </w:tcPr>
          <w:p w14:paraId="78AE98FC" w14:textId="77777777" w:rsidR="00EF26BC" w:rsidRDefault="00EF26BC">
            <w:pPr>
              <w:rPr>
                <w:sz w:val="19"/>
                <w:szCs w:val="19"/>
              </w:rPr>
            </w:pPr>
          </w:p>
        </w:tc>
        <w:tc>
          <w:tcPr>
            <w:tcW w:w="100" w:type="dxa"/>
            <w:vAlign w:val="bottom"/>
          </w:tcPr>
          <w:p w14:paraId="78AE98FD" w14:textId="77777777" w:rsidR="00EF26BC" w:rsidRDefault="00EF26BC">
            <w:pPr>
              <w:rPr>
                <w:sz w:val="19"/>
                <w:szCs w:val="19"/>
              </w:rPr>
            </w:pPr>
          </w:p>
        </w:tc>
        <w:tc>
          <w:tcPr>
            <w:tcW w:w="420" w:type="dxa"/>
            <w:vMerge w:val="restart"/>
            <w:vAlign w:val="bottom"/>
          </w:tcPr>
          <w:p w14:paraId="78AE98FE" w14:textId="77777777" w:rsidR="00EF26BC" w:rsidRDefault="00343DF1">
            <w:pPr>
              <w:jc w:val="right"/>
              <w:rPr>
                <w:sz w:val="20"/>
                <w:szCs w:val="20"/>
              </w:rPr>
            </w:pPr>
            <w:r>
              <w:rPr>
                <w:rFonts w:ascii="Calibri" w:eastAsia="Calibri" w:hAnsi="Calibri" w:cs="Calibri"/>
                <w:color w:val="595959"/>
                <w:sz w:val="18"/>
                <w:szCs w:val="18"/>
              </w:rPr>
              <w:t>2016</w:t>
            </w:r>
          </w:p>
        </w:tc>
        <w:tc>
          <w:tcPr>
            <w:tcW w:w="100" w:type="dxa"/>
            <w:vMerge w:val="restart"/>
            <w:vAlign w:val="bottom"/>
          </w:tcPr>
          <w:p w14:paraId="78AE98FF" w14:textId="77777777" w:rsidR="00EF26BC" w:rsidRDefault="00EF26BC">
            <w:pPr>
              <w:rPr>
                <w:sz w:val="19"/>
                <w:szCs w:val="19"/>
              </w:rPr>
            </w:pPr>
          </w:p>
        </w:tc>
        <w:tc>
          <w:tcPr>
            <w:tcW w:w="100" w:type="dxa"/>
            <w:vAlign w:val="bottom"/>
          </w:tcPr>
          <w:p w14:paraId="78AE9900" w14:textId="77777777" w:rsidR="00EF26BC" w:rsidRDefault="00EF26BC">
            <w:pPr>
              <w:rPr>
                <w:sz w:val="19"/>
                <w:szCs w:val="19"/>
              </w:rPr>
            </w:pPr>
          </w:p>
        </w:tc>
        <w:tc>
          <w:tcPr>
            <w:tcW w:w="1640" w:type="dxa"/>
            <w:vMerge w:val="restart"/>
            <w:vAlign w:val="bottom"/>
          </w:tcPr>
          <w:p w14:paraId="78AE9901" w14:textId="77777777" w:rsidR="00EF26BC" w:rsidRDefault="00343DF1">
            <w:pPr>
              <w:ind w:left="60"/>
              <w:rPr>
                <w:sz w:val="20"/>
                <w:szCs w:val="20"/>
              </w:rPr>
            </w:pPr>
            <w:r>
              <w:rPr>
                <w:rFonts w:ascii="Calibri" w:eastAsia="Calibri" w:hAnsi="Calibri" w:cs="Calibri"/>
                <w:color w:val="595959"/>
                <w:sz w:val="18"/>
                <w:szCs w:val="18"/>
              </w:rPr>
              <w:t>2017</w:t>
            </w:r>
          </w:p>
        </w:tc>
        <w:tc>
          <w:tcPr>
            <w:tcW w:w="20" w:type="dxa"/>
            <w:vAlign w:val="bottom"/>
          </w:tcPr>
          <w:p w14:paraId="78AE9902" w14:textId="77777777" w:rsidR="00EF26BC" w:rsidRDefault="00EF26BC">
            <w:pPr>
              <w:rPr>
                <w:sz w:val="19"/>
                <w:szCs w:val="19"/>
              </w:rPr>
            </w:pPr>
          </w:p>
        </w:tc>
        <w:tc>
          <w:tcPr>
            <w:tcW w:w="1800" w:type="dxa"/>
            <w:vAlign w:val="bottom"/>
          </w:tcPr>
          <w:p w14:paraId="78AE9903" w14:textId="77777777" w:rsidR="00EF26BC" w:rsidRDefault="00EF26BC">
            <w:pPr>
              <w:rPr>
                <w:sz w:val="19"/>
                <w:szCs w:val="19"/>
              </w:rPr>
            </w:pPr>
          </w:p>
        </w:tc>
        <w:tc>
          <w:tcPr>
            <w:tcW w:w="0" w:type="dxa"/>
            <w:vAlign w:val="bottom"/>
          </w:tcPr>
          <w:p w14:paraId="78AE9904" w14:textId="77777777" w:rsidR="00EF26BC" w:rsidRDefault="00EF26BC">
            <w:pPr>
              <w:rPr>
                <w:sz w:val="1"/>
                <w:szCs w:val="1"/>
              </w:rPr>
            </w:pPr>
          </w:p>
        </w:tc>
      </w:tr>
      <w:tr w:rsidR="00EF26BC" w14:paraId="78AE9910" w14:textId="77777777">
        <w:trPr>
          <w:trHeight w:val="99"/>
        </w:trPr>
        <w:tc>
          <w:tcPr>
            <w:tcW w:w="1700" w:type="dxa"/>
            <w:vAlign w:val="bottom"/>
          </w:tcPr>
          <w:p w14:paraId="78AE9906" w14:textId="77777777" w:rsidR="00EF26BC" w:rsidRDefault="00EF26BC">
            <w:pPr>
              <w:rPr>
                <w:sz w:val="8"/>
                <w:szCs w:val="8"/>
              </w:rPr>
            </w:pPr>
          </w:p>
        </w:tc>
        <w:tc>
          <w:tcPr>
            <w:tcW w:w="1320" w:type="dxa"/>
            <w:gridSpan w:val="2"/>
            <w:vMerge/>
            <w:vAlign w:val="bottom"/>
          </w:tcPr>
          <w:p w14:paraId="78AE9907" w14:textId="77777777" w:rsidR="00EF26BC" w:rsidRDefault="00EF26BC">
            <w:pPr>
              <w:rPr>
                <w:sz w:val="8"/>
                <w:szCs w:val="8"/>
              </w:rPr>
            </w:pPr>
          </w:p>
        </w:tc>
        <w:tc>
          <w:tcPr>
            <w:tcW w:w="100" w:type="dxa"/>
            <w:shd w:val="clear" w:color="auto" w:fill="4472C4"/>
            <w:vAlign w:val="bottom"/>
          </w:tcPr>
          <w:p w14:paraId="78AE9908" w14:textId="77777777" w:rsidR="00EF26BC" w:rsidRDefault="00EF26BC">
            <w:pPr>
              <w:rPr>
                <w:sz w:val="8"/>
                <w:szCs w:val="8"/>
              </w:rPr>
            </w:pPr>
          </w:p>
        </w:tc>
        <w:tc>
          <w:tcPr>
            <w:tcW w:w="420" w:type="dxa"/>
            <w:vMerge/>
            <w:vAlign w:val="bottom"/>
          </w:tcPr>
          <w:p w14:paraId="78AE9909" w14:textId="77777777" w:rsidR="00EF26BC" w:rsidRDefault="00EF26BC">
            <w:pPr>
              <w:rPr>
                <w:sz w:val="8"/>
                <w:szCs w:val="8"/>
              </w:rPr>
            </w:pPr>
          </w:p>
        </w:tc>
        <w:tc>
          <w:tcPr>
            <w:tcW w:w="100" w:type="dxa"/>
            <w:vMerge/>
            <w:vAlign w:val="bottom"/>
          </w:tcPr>
          <w:p w14:paraId="78AE990A" w14:textId="77777777" w:rsidR="00EF26BC" w:rsidRDefault="00EF26BC">
            <w:pPr>
              <w:rPr>
                <w:sz w:val="8"/>
                <w:szCs w:val="8"/>
              </w:rPr>
            </w:pPr>
          </w:p>
        </w:tc>
        <w:tc>
          <w:tcPr>
            <w:tcW w:w="100" w:type="dxa"/>
            <w:shd w:val="clear" w:color="auto" w:fill="ED7D31"/>
            <w:vAlign w:val="bottom"/>
          </w:tcPr>
          <w:p w14:paraId="78AE990B" w14:textId="77777777" w:rsidR="00EF26BC" w:rsidRDefault="00EF26BC">
            <w:pPr>
              <w:rPr>
                <w:sz w:val="8"/>
                <w:szCs w:val="8"/>
              </w:rPr>
            </w:pPr>
          </w:p>
        </w:tc>
        <w:tc>
          <w:tcPr>
            <w:tcW w:w="1640" w:type="dxa"/>
            <w:vMerge/>
            <w:vAlign w:val="bottom"/>
          </w:tcPr>
          <w:p w14:paraId="78AE990C" w14:textId="77777777" w:rsidR="00EF26BC" w:rsidRDefault="00EF26BC">
            <w:pPr>
              <w:rPr>
                <w:sz w:val="8"/>
                <w:szCs w:val="8"/>
              </w:rPr>
            </w:pPr>
          </w:p>
        </w:tc>
        <w:tc>
          <w:tcPr>
            <w:tcW w:w="20" w:type="dxa"/>
            <w:vAlign w:val="bottom"/>
          </w:tcPr>
          <w:p w14:paraId="78AE990D" w14:textId="77777777" w:rsidR="00EF26BC" w:rsidRDefault="00EF26BC">
            <w:pPr>
              <w:rPr>
                <w:sz w:val="8"/>
                <w:szCs w:val="8"/>
              </w:rPr>
            </w:pPr>
          </w:p>
        </w:tc>
        <w:tc>
          <w:tcPr>
            <w:tcW w:w="1800" w:type="dxa"/>
            <w:vAlign w:val="bottom"/>
          </w:tcPr>
          <w:p w14:paraId="78AE990E" w14:textId="77777777" w:rsidR="00EF26BC" w:rsidRDefault="00EF26BC">
            <w:pPr>
              <w:rPr>
                <w:sz w:val="8"/>
                <w:szCs w:val="8"/>
              </w:rPr>
            </w:pPr>
          </w:p>
        </w:tc>
        <w:tc>
          <w:tcPr>
            <w:tcW w:w="0" w:type="dxa"/>
            <w:vAlign w:val="bottom"/>
          </w:tcPr>
          <w:p w14:paraId="78AE990F" w14:textId="77777777" w:rsidR="00EF26BC" w:rsidRDefault="00EF26BC">
            <w:pPr>
              <w:rPr>
                <w:sz w:val="1"/>
                <w:szCs w:val="1"/>
              </w:rPr>
            </w:pPr>
          </w:p>
        </w:tc>
      </w:tr>
    </w:tbl>
    <w:p w14:paraId="78AE9911" w14:textId="77777777" w:rsidR="00EF26BC" w:rsidRDefault="00EF26BC">
      <w:pPr>
        <w:spacing w:line="345" w:lineRule="exact"/>
        <w:rPr>
          <w:sz w:val="20"/>
          <w:szCs w:val="20"/>
        </w:rPr>
      </w:pPr>
    </w:p>
    <w:p w14:paraId="78AE9912" w14:textId="77777777" w:rsidR="00EF26BC" w:rsidRDefault="00343DF1">
      <w:pPr>
        <w:ind w:left="820"/>
        <w:rPr>
          <w:sz w:val="20"/>
          <w:szCs w:val="20"/>
        </w:rPr>
      </w:pPr>
      <w:r>
        <w:rPr>
          <w:rFonts w:eastAsia="Times New Roman"/>
        </w:rPr>
        <w:t>Fuente: Elaboración propia con base en COMESCO, 2018, p 32-39.</w:t>
      </w:r>
    </w:p>
    <w:p w14:paraId="78AE9913" w14:textId="77777777" w:rsidR="00EF26BC" w:rsidRDefault="00EF26BC">
      <w:pPr>
        <w:spacing w:line="190" w:lineRule="exact"/>
        <w:rPr>
          <w:sz w:val="20"/>
          <w:szCs w:val="20"/>
        </w:rPr>
      </w:pPr>
    </w:p>
    <w:p w14:paraId="78AE9914" w14:textId="77777777" w:rsidR="00EF26BC" w:rsidRDefault="00343DF1">
      <w:pPr>
        <w:spacing w:line="244" w:lineRule="auto"/>
        <w:ind w:left="820" w:right="1820"/>
        <w:jc w:val="both"/>
        <w:rPr>
          <w:sz w:val="20"/>
          <w:szCs w:val="20"/>
        </w:rPr>
      </w:pPr>
      <w:r>
        <w:rPr>
          <w:rFonts w:eastAsia="Times New Roman"/>
          <w:sz w:val="24"/>
          <w:szCs w:val="24"/>
        </w:rPr>
        <w:t xml:space="preserve">No obstante, como se puede observar en el </w:t>
      </w:r>
      <w:r>
        <w:rPr>
          <w:rFonts w:eastAsia="Times New Roman"/>
          <w:b/>
          <w:bCs/>
          <w:sz w:val="24"/>
          <w:szCs w:val="24"/>
        </w:rPr>
        <w:t>gráfico N° 7</w:t>
      </w:r>
      <w:r>
        <w:rPr>
          <w:rFonts w:eastAsia="Times New Roman"/>
          <w:sz w:val="24"/>
          <w:szCs w:val="24"/>
        </w:rPr>
        <w:t xml:space="preserve">, las intervenciones </w:t>
      </w:r>
      <w:r>
        <w:rPr>
          <w:rFonts w:eastAsia="Times New Roman"/>
          <w:sz w:val="24"/>
          <w:szCs w:val="24"/>
        </w:rPr>
        <w:t>policiales por violación a las medidas de protección son altas e insuficientes para garantizar la protección de las mujeres. La violación de estas se da en más de un 80% en los casos de la Ley de Violencia Doméstica y en la Ley de Penalización de la Violen</w:t>
      </w:r>
      <w:r>
        <w:rPr>
          <w:rFonts w:eastAsia="Times New Roman"/>
          <w:sz w:val="24"/>
          <w:szCs w:val="24"/>
        </w:rPr>
        <w:t>cia es aún peor, ya que sobre pasa el 97%, lo que está estrechamente ligado con los femicidios cometidos. Cabe señalar que la Fuerza Pública no interviene de oficio, sino que es ante solicitud de la persona ofendida, es decir, la que cuenta con la medida d</w:t>
      </w:r>
      <w:r>
        <w:rPr>
          <w:rFonts w:eastAsia="Times New Roman"/>
          <w:sz w:val="24"/>
          <w:szCs w:val="24"/>
        </w:rPr>
        <w:t>e protección, lo que deja claro que no sólo son las mujeres las que en mayor proporción las solicitan, sino que también son las que deben acudir a la policía para que las mismas se cumplan.</w:t>
      </w:r>
    </w:p>
    <w:p w14:paraId="78AE9915" w14:textId="77777777" w:rsidR="00EF26BC" w:rsidRDefault="00EF26BC">
      <w:pPr>
        <w:spacing w:line="160" w:lineRule="exact"/>
        <w:rPr>
          <w:sz w:val="20"/>
          <w:szCs w:val="20"/>
        </w:rPr>
      </w:pPr>
    </w:p>
    <w:p w14:paraId="78AE9916" w14:textId="77777777" w:rsidR="00EF26BC" w:rsidRDefault="00343DF1">
      <w:pPr>
        <w:spacing w:line="253" w:lineRule="auto"/>
        <w:ind w:left="820" w:right="1820"/>
        <w:jc w:val="both"/>
        <w:rPr>
          <w:sz w:val="20"/>
          <w:szCs w:val="20"/>
        </w:rPr>
      </w:pPr>
      <w:r>
        <w:rPr>
          <w:rFonts w:eastAsia="Times New Roman"/>
          <w:sz w:val="24"/>
          <w:szCs w:val="24"/>
        </w:rPr>
        <w:t>Con respecto a los femicidios, el pico de muertes de mujeres se d</w:t>
      </w:r>
      <w:r>
        <w:rPr>
          <w:rFonts w:eastAsia="Times New Roman"/>
          <w:sz w:val="24"/>
          <w:szCs w:val="24"/>
        </w:rPr>
        <w:t xml:space="preserve">a en 2011 cuando se registraron 42 casos. En relación con este tipo de delito el Poder Judicial registra una cantidad de 13 casos al 17 de diciembre del 2019, lo que significa, en promedio, un femicidio al mes (Ver </w:t>
      </w:r>
      <w:r>
        <w:rPr>
          <w:rFonts w:eastAsia="Times New Roman"/>
          <w:b/>
          <w:bCs/>
          <w:sz w:val="24"/>
          <w:szCs w:val="24"/>
        </w:rPr>
        <w:t>gráfico N° 8</w:t>
      </w:r>
      <w:r>
        <w:rPr>
          <w:rFonts w:eastAsia="Times New Roman"/>
          <w:sz w:val="24"/>
          <w:szCs w:val="24"/>
        </w:rPr>
        <w:t>).</w:t>
      </w:r>
    </w:p>
    <w:p w14:paraId="78AE9917" w14:textId="77777777" w:rsidR="00EF26BC" w:rsidRDefault="00EF26BC">
      <w:pPr>
        <w:spacing w:line="200" w:lineRule="exact"/>
        <w:rPr>
          <w:sz w:val="20"/>
          <w:szCs w:val="20"/>
        </w:rPr>
      </w:pPr>
    </w:p>
    <w:p w14:paraId="78AE9918" w14:textId="77777777" w:rsidR="00EF26BC" w:rsidRDefault="00EF26BC">
      <w:pPr>
        <w:spacing w:line="200" w:lineRule="exact"/>
        <w:rPr>
          <w:sz w:val="20"/>
          <w:szCs w:val="20"/>
        </w:rPr>
      </w:pPr>
    </w:p>
    <w:p w14:paraId="78AE9919" w14:textId="77777777" w:rsidR="00EF26BC" w:rsidRDefault="00EF26BC">
      <w:pPr>
        <w:spacing w:line="200" w:lineRule="exact"/>
        <w:rPr>
          <w:sz w:val="20"/>
          <w:szCs w:val="20"/>
        </w:rPr>
      </w:pPr>
    </w:p>
    <w:p w14:paraId="78AE991A" w14:textId="77777777" w:rsidR="00EF26BC" w:rsidRDefault="00EF26BC">
      <w:pPr>
        <w:spacing w:line="200" w:lineRule="exact"/>
        <w:rPr>
          <w:sz w:val="20"/>
          <w:szCs w:val="20"/>
        </w:rPr>
      </w:pPr>
    </w:p>
    <w:p w14:paraId="78AE991B" w14:textId="77777777" w:rsidR="00EF26BC" w:rsidRDefault="00EF26BC">
      <w:pPr>
        <w:spacing w:line="200" w:lineRule="exact"/>
        <w:rPr>
          <w:sz w:val="20"/>
          <w:szCs w:val="20"/>
        </w:rPr>
      </w:pPr>
    </w:p>
    <w:p w14:paraId="78AE991C" w14:textId="77777777" w:rsidR="00EF26BC" w:rsidRDefault="00EF26BC">
      <w:pPr>
        <w:spacing w:line="200" w:lineRule="exact"/>
        <w:rPr>
          <w:sz w:val="20"/>
          <w:szCs w:val="20"/>
        </w:rPr>
      </w:pPr>
    </w:p>
    <w:p w14:paraId="78AE991D" w14:textId="77777777" w:rsidR="00EF26BC" w:rsidRDefault="00EF26BC">
      <w:pPr>
        <w:spacing w:line="200" w:lineRule="exact"/>
        <w:rPr>
          <w:sz w:val="20"/>
          <w:szCs w:val="20"/>
        </w:rPr>
      </w:pPr>
    </w:p>
    <w:p w14:paraId="78AE991E" w14:textId="77777777" w:rsidR="00EF26BC" w:rsidRDefault="00EF26BC">
      <w:pPr>
        <w:spacing w:line="309"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922" w14:textId="77777777">
        <w:trPr>
          <w:trHeight w:val="240"/>
        </w:trPr>
        <w:tc>
          <w:tcPr>
            <w:tcW w:w="6940" w:type="dxa"/>
            <w:vAlign w:val="bottom"/>
          </w:tcPr>
          <w:p w14:paraId="78AE991F" w14:textId="77777777" w:rsidR="00EF26BC" w:rsidRDefault="00343DF1">
            <w:pPr>
              <w:ind w:right="1119"/>
              <w:jc w:val="center"/>
              <w:rPr>
                <w:sz w:val="20"/>
                <w:szCs w:val="20"/>
              </w:rPr>
            </w:pPr>
            <w:r>
              <w:rPr>
                <w:rFonts w:ascii="Arial" w:eastAsia="Arial" w:hAnsi="Arial" w:cs="Arial"/>
                <w:w w:val="96"/>
                <w:sz w:val="20"/>
                <w:szCs w:val="20"/>
              </w:rPr>
              <w:t>Anuario del Centro</w:t>
            </w:r>
            <w:r>
              <w:rPr>
                <w:rFonts w:ascii="Arial" w:eastAsia="Arial" w:hAnsi="Arial" w:cs="Arial"/>
                <w:w w:val="96"/>
                <w:sz w:val="20"/>
                <w:szCs w:val="20"/>
              </w:rPr>
              <w:t xml:space="preserve"> de Investigación y Estudios Políticos</w:t>
            </w:r>
          </w:p>
        </w:tc>
        <w:tc>
          <w:tcPr>
            <w:tcW w:w="1580" w:type="dxa"/>
            <w:vMerge w:val="restart"/>
            <w:vAlign w:val="bottom"/>
          </w:tcPr>
          <w:p w14:paraId="78AE9920" w14:textId="77777777" w:rsidR="00EF26BC" w:rsidRDefault="00343DF1">
            <w:pPr>
              <w:jc w:val="right"/>
              <w:rPr>
                <w:sz w:val="20"/>
                <w:szCs w:val="20"/>
              </w:rPr>
            </w:pPr>
            <w:r>
              <w:rPr>
                <w:rFonts w:ascii="Arial" w:eastAsia="Arial" w:hAnsi="Arial" w:cs="Arial"/>
              </w:rPr>
              <w:t>104</w:t>
            </w:r>
          </w:p>
        </w:tc>
        <w:tc>
          <w:tcPr>
            <w:tcW w:w="0" w:type="dxa"/>
            <w:vAlign w:val="bottom"/>
          </w:tcPr>
          <w:p w14:paraId="78AE9921" w14:textId="77777777" w:rsidR="00EF26BC" w:rsidRDefault="00EF26BC">
            <w:pPr>
              <w:rPr>
                <w:sz w:val="1"/>
                <w:szCs w:val="1"/>
              </w:rPr>
            </w:pPr>
          </w:p>
        </w:tc>
      </w:tr>
      <w:tr w:rsidR="00EF26BC" w14:paraId="78AE9926" w14:textId="77777777">
        <w:trPr>
          <w:trHeight w:val="270"/>
        </w:trPr>
        <w:tc>
          <w:tcPr>
            <w:tcW w:w="6940" w:type="dxa"/>
            <w:vAlign w:val="bottom"/>
          </w:tcPr>
          <w:p w14:paraId="78AE9923"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924" w14:textId="77777777" w:rsidR="00EF26BC" w:rsidRDefault="00EF26BC">
            <w:pPr>
              <w:rPr>
                <w:sz w:val="23"/>
                <w:szCs w:val="23"/>
              </w:rPr>
            </w:pPr>
          </w:p>
        </w:tc>
        <w:tc>
          <w:tcPr>
            <w:tcW w:w="0" w:type="dxa"/>
            <w:vAlign w:val="bottom"/>
          </w:tcPr>
          <w:p w14:paraId="78AE9925" w14:textId="77777777" w:rsidR="00EF26BC" w:rsidRDefault="00EF26BC">
            <w:pPr>
              <w:rPr>
                <w:sz w:val="1"/>
                <w:szCs w:val="1"/>
              </w:rPr>
            </w:pPr>
          </w:p>
        </w:tc>
      </w:tr>
    </w:tbl>
    <w:p w14:paraId="78AE9927" w14:textId="77777777" w:rsidR="00EF26BC" w:rsidRDefault="00EF26BC">
      <w:pPr>
        <w:sectPr w:rsidR="00EF26BC">
          <w:pgSz w:w="12240" w:h="15840"/>
          <w:pgMar w:top="714" w:right="460" w:bottom="112" w:left="1440" w:header="0" w:footer="0" w:gutter="0"/>
          <w:cols w:space="720" w:equalWidth="0">
            <w:col w:w="10340"/>
          </w:cols>
        </w:sectPr>
      </w:pPr>
    </w:p>
    <w:p w14:paraId="78AE9928" w14:textId="77777777" w:rsidR="00EF26BC" w:rsidRDefault="00343DF1">
      <w:pPr>
        <w:ind w:left="2960"/>
        <w:rPr>
          <w:sz w:val="20"/>
          <w:szCs w:val="20"/>
        </w:rPr>
      </w:pPr>
      <w:bookmarkStart w:id="16" w:name="page17"/>
      <w:bookmarkEnd w:id="16"/>
      <w:r>
        <w:rPr>
          <w:rFonts w:ascii="Arial" w:eastAsia="Arial" w:hAnsi="Arial" w:cs="Arial"/>
          <w:sz w:val="20"/>
          <w:szCs w:val="20"/>
        </w:rPr>
        <w:lastRenderedPageBreak/>
        <w:t>Violencia contra las mujeres y femicidio</w:t>
      </w:r>
    </w:p>
    <w:p w14:paraId="78AE9929" w14:textId="77777777" w:rsidR="00EF26BC" w:rsidRDefault="00EF26BC">
      <w:pPr>
        <w:spacing w:line="200" w:lineRule="exact"/>
        <w:rPr>
          <w:sz w:val="20"/>
          <w:szCs w:val="20"/>
        </w:rPr>
      </w:pPr>
    </w:p>
    <w:p w14:paraId="78AE992A" w14:textId="77777777" w:rsidR="00EF26BC" w:rsidRDefault="00EF26BC">
      <w:pPr>
        <w:spacing w:line="331" w:lineRule="exact"/>
        <w:rPr>
          <w:sz w:val="20"/>
          <w:szCs w:val="20"/>
        </w:rPr>
      </w:pPr>
    </w:p>
    <w:p w14:paraId="78AE992B" w14:textId="77777777" w:rsidR="00EF26BC" w:rsidRDefault="00343DF1">
      <w:pPr>
        <w:ind w:right="960"/>
        <w:jc w:val="center"/>
        <w:rPr>
          <w:sz w:val="20"/>
          <w:szCs w:val="20"/>
        </w:rPr>
      </w:pPr>
      <w:r>
        <w:rPr>
          <w:rFonts w:eastAsia="Times New Roman"/>
          <w:b/>
          <w:bCs/>
        </w:rPr>
        <w:t>Gráfico N°8.</w:t>
      </w:r>
    </w:p>
    <w:p w14:paraId="78AE992C" w14:textId="77777777" w:rsidR="00EF26BC" w:rsidRDefault="00EF26BC">
      <w:pPr>
        <w:spacing w:line="37" w:lineRule="exact"/>
        <w:rPr>
          <w:sz w:val="20"/>
          <w:szCs w:val="20"/>
        </w:rPr>
      </w:pPr>
    </w:p>
    <w:p w14:paraId="78AE992D" w14:textId="77777777" w:rsidR="00EF26BC" w:rsidRDefault="00343DF1">
      <w:pPr>
        <w:ind w:right="900"/>
        <w:jc w:val="center"/>
        <w:rPr>
          <w:sz w:val="20"/>
          <w:szCs w:val="20"/>
        </w:rPr>
      </w:pPr>
      <w:r>
        <w:rPr>
          <w:rFonts w:eastAsia="Times New Roman"/>
          <w:b/>
          <w:bCs/>
        </w:rPr>
        <w:t>Cantidad de femicidios registrados durante el periodo 2007-2019</w:t>
      </w:r>
    </w:p>
    <w:p w14:paraId="78AE992E" w14:textId="77777777" w:rsidR="00EF26BC" w:rsidRDefault="00343DF1">
      <w:pPr>
        <w:spacing w:line="20" w:lineRule="exact"/>
        <w:rPr>
          <w:sz w:val="20"/>
          <w:szCs w:val="20"/>
        </w:rPr>
      </w:pPr>
      <w:r>
        <w:rPr>
          <w:noProof/>
          <w:sz w:val="20"/>
          <w:szCs w:val="20"/>
        </w:rPr>
        <w:drawing>
          <wp:anchor distT="0" distB="0" distL="114300" distR="114300" simplePos="0" relativeHeight="251662336" behindDoc="1" locked="0" layoutInCell="0" allowOverlap="1" wp14:anchorId="78AE9C47" wp14:editId="78AE9C48">
            <wp:simplePos x="0" y="0"/>
            <wp:positionH relativeFrom="column">
              <wp:posOffset>525780</wp:posOffset>
            </wp:positionH>
            <wp:positionV relativeFrom="paragraph">
              <wp:posOffset>57150</wp:posOffset>
            </wp:positionV>
            <wp:extent cx="4914900" cy="37566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914900" cy="3756660"/>
                    </a:xfrm>
                    <a:prstGeom prst="rect">
                      <a:avLst/>
                    </a:prstGeom>
                    <a:noFill/>
                  </pic:spPr>
                </pic:pic>
              </a:graphicData>
            </a:graphic>
          </wp:anchor>
        </w:drawing>
      </w:r>
    </w:p>
    <w:p w14:paraId="78AE992F" w14:textId="77777777" w:rsidR="00EF26BC" w:rsidRDefault="00EF26BC">
      <w:pPr>
        <w:spacing w:line="200" w:lineRule="exact"/>
        <w:rPr>
          <w:sz w:val="20"/>
          <w:szCs w:val="20"/>
        </w:rPr>
      </w:pPr>
    </w:p>
    <w:p w14:paraId="78AE9930" w14:textId="77777777" w:rsidR="00EF26BC" w:rsidRDefault="00EF26BC">
      <w:pPr>
        <w:spacing w:line="200" w:lineRule="exact"/>
        <w:rPr>
          <w:sz w:val="20"/>
          <w:szCs w:val="20"/>
        </w:rPr>
      </w:pPr>
    </w:p>
    <w:p w14:paraId="78AE9931" w14:textId="77777777" w:rsidR="00EF26BC" w:rsidRDefault="00EF26BC">
      <w:pPr>
        <w:spacing w:line="200" w:lineRule="exact"/>
        <w:rPr>
          <w:sz w:val="20"/>
          <w:szCs w:val="20"/>
        </w:rPr>
      </w:pPr>
    </w:p>
    <w:p w14:paraId="78AE9932" w14:textId="77777777" w:rsidR="00EF26BC" w:rsidRDefault="00EF26BC">
      <w:pPr>
        <w:spacing w:line="200" w:lineRule="exact"/>
        <w:rPr>
          <w:sz w:val="20"/>
          <w:szCs w:val="20"/>
        </w:rPr>
      </w:pPr>
    </w:p>
    <w:p w14:paraId="78AE9933" w14:textId="77777777" w:rsidR="00EF26BC" w:rsidRDefault="00EF26BC">
      <w:pPr>
        <w:spacing w:line="200" w:lineRule="exact"/>
        <w:rPr>
          <w:sz w:val="20"/>
          <w:szCs w:val="20"/>
        </w:rPr>
      </w:pPr>
    </w:p>
    <w:p w14:paraId="78AE9934" w14:textId="77777777" w:rsidR="00EF26BC" w:rsidRDefault="00EF26BC">
      <w:pPr>
        <w:spacing w:line="200" w:lineRule="exact"/>
        <w:rPr>
          <w:sz w:val="20"/>
          <w:szCs w:val="20"/>
        </w:rPr>
      </w:pPr>
    </w:p>
    <w:p w14:paraId="78AE9935" w14:textId="77777777" w:rsidR="00EF26BC" w:rsidRDefault="00EF26BC">
      <w:pPr>
        <w:spacing w:line="200" w:lineRule="exact"/>
        <w:rPr>
          <w:sz w:val="20"/>
          <w:szCs w:val="20"/>
        </w:rPr>
      </w:pPr>
    </w:p>
    <w:p w14:paraId="78AE9936" w14:textId="77777777" w:rsidR="00EF26BC" w:rsidRDefault="00EF26BC">
      <w:pPr>
        <w:spacing w:line="200" w:lineRule="exact"/>
        <w:rPr>
          <w:sz w:val="20"/>
          <w:szCs w:val="20"/>
        </w:rPr>
      </w:pPr>
    </w:p>
    <w:p w14:paraId="78AE9937" w14:textId="77777777" w:rsidR="00EF26BC" w:rsidRDefault="00EF26BC">
      <w:pPr>
        <w:spacing w:line="200" w:lineRule="exact"/>
        <w:rPr>
          <w:sz w:val="20"/>
          <w:szCs w:val="20"/>
        </w:rPr>
      </w:pPr>
    </w:p>
    <w:p w14:paraId="78AE9938" w14:textId="77777777" w:rsidR="00EF26BC" w:rsidRDefault="00EF26BC">
      <w:pPr>
        <w:spacing w:line="200" w:lineRule="exact"/>
        <w:rPr>
          <w:sz w:val="20"/>
          <w:szCs w:val="20"/>
        </w:rPr>
      </w:pPr>
    </w:p>
    <w:p w14:paraId="78AE9939" w14:textId="77777777" w:rsidR="00EF26BC" w:rsidRDefault="00EF26BC">
      <w:pPr>
        <w:spacing w:line="200" w:lineRule="exact"/>
        <w:rPr>
          <w:sz w:val="20"/>
          <w:szCs w:val="20"/>
        </w:rPr>
      </w:pPr>
    </w:p>
    <w:p w14:paraId="78AE993A" w14:textId="77777777" w:rsidR="00EF26BC" w:rsidRDefault="00EF26BC">
      <w:pPr>
        <w:spacing w:line="200" w:lineRule="exact"/>
        <w:rPr>
          <w:sz w:val="20"/>
          <w:szCs w:val="20"/>
        </w:rPr>
      </w:pPr>
    </w:p>
    <w:p w14:paraId="78AE993B" w14:textId="77777777" w:rsidR="00EF26BC" w:rsidRDefault="00EF26BC">
      <w:pPr>
        <w:spacing w:line="200" w:lineRule="exact"/>
        <w:rPr>
          <w:sz w:val="20"/>
          <w:szCs w:val="20"/>
        </w:rPr>
      </w:pPr>
    </w:p>
    <w:p w14:paraId="78AE993C" w14:textId="77777777" w:rsidR="00EF26BC" w:rsidRDefault="00EF26BC">
      <w:pPr>
        <w:spacing w:line="200" w:lineRule="exact"/>
        <w:rPr>
          <w:sz w:val="20"/>
          <w:szCs w:val="20"/>
        </w:rPr>
      </w:pPr>
    </w:p>
    <w:p w14:paraId="78AE993D" w14:textId="77777777" w:rsidR="00EF26BC" w:rsidRDefault="00EF26BC">
      <w:pPr>
        <w:spacing w:line="200" w:lineRule="exact"/>
        <w:rPr>
          <w:sz w:val="20"/>
          <w:szCs w:val="20"/>
        </w:rPr>
      </w:pPr>
    </w:p>
    <w:p w14:paraId="78AE993E" w14:textId="77777777" w:rsidR="00EF26BC" w:rsidRDefault="00EF26BC">
      <w:pPr>
        <w:spacing w:line="200" w:lineRule="exact"/>
        <w:rPr>
          <w:sz w:val="20"/>
          <w:szCs w:val="20"/>
        </w:rPr>
      </w:pPr>
    </w:p>
    <w:p w14:paraId="78AE993F" w14:textId="77777777" w:rsidR="00EF26BC" w:rsidRDefault="00EF26BC">
      <w:pPr>
        <w:spacing w:line="200" w:lineRule="exact"/>
        <w:rPr>
          <w:sz w:val="20"/>
          <w:szCs w:val="20"/>
        </w:rPr>
      </w:pPr>
    </w:p>
    <w:p w14:paraId="78AE9940" w14:textId="77777777" w:rsidR="00EF26BC" w:rsidRDefault="00EF26BC">
      <w:pPr>
        <w:spacing w:line="200" w:lineRule="exact"/>
        <w:rPr>
          <w:sz w:val="20"/>
          <w:szCs w:val="20"/>
        </w:rPr>
      </w:pPr>
    </w:p>
    <w:p w14:paraId="78AE9941" w14:textId="77777777" w:rsidR="00EF26BC" w:rsidRDefault="00EF26BC">
      <w:pPr>
        <w:spacing w:line="200" w:lineRule="exact"/>
        <w:rPr>
          <w:sz w:val="20"/>
          <w:szCs w:val="20"/>
        </w:rPr>
      </w:pPr>
    </w:p>
    <w:p w14:paraId="78AE9942" w14:textId="77777777" w:rsidR="00EF26BC" w:rsidRDefault="00EF26BC">
      <w:pPr>
        <w:spacing w:line="200" w:lineRule="exact"/>
        <w:rPr>
          <w:sz w:val="20"/>
          <w:szCs w:val="20"/>
        </w:rPr>
      </w:pPr>
    </w:p>
    <w:p w14:paraId="78AE9943" w14:textId="77777777" w:rsidR="00EF26BC" w:rsidRDefault="00EF26BC">
      <w:pPr>
        <w:spacing w:line="200" w:lineRule="exact"/>
        <w:rPr>
          <w:sz w:val="20"/>
          <w:szCs w:val="20"/>
        </w:rPr>
      </w:pPr>
    </w:p>
    <w:p w14:paraId="78AE9944" w14:textId="77777777" w:rsidR="00EF26BC" w:rsidRDefault="00EF26BC">
      <w:pPr>
        <w:spacing w:line="200" w:lineRule="exact"/>
        <w:rPr>
          <w:sz w:val="20"/>
          <w:szCs w:val="20"/>
        </w:rPr>
      </w:pPr>
    </w:p>
    <w:p w14:paraId="78AE9945" w14:textId="77777777" w:rsidR="00EF26BC" w:rsidRDefault="00EF26BC">
      <w:pPr>
        <w:spacing w:line="200" w:lineRule="exact"/>
        <w:rPr>
          <w:sz w:val="20"/>
          <w:szCs w:val="20"/>
        </w:rPr>
      </w:pPr>
    </w:p>
    <w:p w14:paraId="78AE9946" w14:textId="77777777" w:rsidR="00EF26BC" w:rsidRDefault="00EF26BC">
      <w:pPr>
        <w:spacing w:line="200" w:lineRule="exact"/>
        <w:rPr>
          <w:sz w:val="20"/>
          <w:szCs w:val="20"/>
        </w:rPr>
      </w:pPr>
    </w:p>
    <w:p w14:paraId="78AE9947" w14:textId="77777777" w:rsidR="00EF26BC" w:rsidRDefault="00EF26BC">
      <w:pPr>
        <w:spacing w:line="200" w:lineRule="exact"/>
        <w:rPr>
          <w:sz w:val="20"/>
          <w:szCs w:val="20"/>
        </w:rPr>
      </w:pPr>
    </w:p>
    <w:p w14:paraId="78AE9948" w14:textId="77777777" w:rsidR="00EF26BC" w:rsidRDefault="00EF26BC">
      <w:pPr>
        <w:spacing w:line="200" w:lineRule="exact"/>
        <w:rPr>
          <w:sz w:val="20"/>
          <w:szCs w:val="20"/>
        </w:rPr>
      </w:pPr>
    </w:p>
    <w:p w14:paraId="78AE9949" w14:textId="77777777" w:rsidR="00EF26BC" w:rsidRDefault="00EF26BC">
      <w:pPr>
        <w:spacing w:line="200" w:lineRule="exact"/>
        <w:rPr>
          <w:sz w:val="20"/>
          <w:szCs w:val="20"/>
        </w:rPr>
      </w:pPr>
    </w:p>
    <w:p w14:paraId="78AE994A" w14:textId="77777777" w:rsidR="00EF26BC" w:rsidRDefault="00EF26BC">
      <w:pPr>
        <w:spacing w:line="200" w:lineRule="exact"/>
        <w:rPr>
          <w:sz w:val="20"/>
          <w:szCs w:val="20"/>
        </w:rPr>
      </w:pPr>
    </w:p>
    <w:p w14:paraId="78AE994B" w14:textId="77777777" w:rsidR="00EF26BC" w:rsidRDefault="00EF26BC">
      <w:pPr>
        <w:spacing w:line="200" w:lineRule="exact"/>
        <w:rPr>
          <w:sz w:val="20"/>
          <w:szCs w:val="20"/>
        </w:rPr>
      </w:pPr>
    </w:p>
    <w:p w14:paraId="78AE994C" w14:textId="77777777" w:rsidR="00EF26BC" w:rsidRDefault="00EF26BC">
      <w:pPr>
        <w:spacing w:line="265" w:lineRule="exact"/>
        <w:rPr>
          <w:sz w:val="20"/>
          <w:szCs w:val="20"/>
        </w:rPr>
      </w:pPr>
    </w:p>
    <w:p w14:paraId="78AE994D" w14:textId="77777777" w:rsidR="00EF26BC" w:rsidRDefault="00343DF1">
      <w:pPr>
        <w:spacing w:line="280" w:lineRule="auto"/>
        <w:ind w:left="820" w:right="2360"/>
        <w:rPr>
          <w:sz w:val="20"/>
          <w:szCs w:val="20"/>
        </w:rPr>
      </w:pPr>
      <w:r>
        <w:rPr>
          <w:rFonts w:eastAsia="Times New Roman"/>
        </w:rPr>
        <w:t>Fuente: Observatorio de Violencia de Género contra las Mujeres y el Acceso a la Justicia (2020).</w:t>
      </w:r>
    </w:p>
    <w:p w14:paraId="78AE994E" w14:textId="77777777" w:rsidR="00EF26BC" w:rsidRDefault="00EF26BC">
      <w:pPr>
        <w:spacing w:line="200" w:lineRule="exact"/>
        <w:rPr>
          <w:sz w:val="20"/>
          <w:szCs w:val="20"/>
        </w:rPr>
      </w:pPr>
    </w:p>
    <w:p w14:paraId="78AE994F" w14:textId="77777777" w:rsidR="00EF26BC" w:rsidRDefault="00EF26BC">
      <w:pPr>
        <w:spacing w:line="266" w:lineRule="exact"/>
        <w:rPr>
          <w:sz w:val="20"/>
          <w:szCs w:val="20"/>
        </w:rPr>
      </w:pPr>
    </w:p>
    <w:p w14:paraId="78AE9950" w14:textId="77777777" w:rsidR="00EF26BC" w:rsidRDefault="00343DF1">
      <w:pPr>
        <w:spacing w:line="244" w:lineRule="auto"/>
        <w:ind w:left="820" w:right="1800" w:hanging="5"/>
        <w:jc w:val="both"/>
        <w:rPr>
          <w:sz w:val="20"/>
          <w:szCs w:val="20"/>
        </w:rPr>
      </w:pPr>
      <w:r>
        <w:rPr>
          <w:rFonts w:eastAsia="Times New Roman"/>
          <w:sz w:val="24"/>
          <w:szCs w:val="24"/>
        </w:rPr>
        <w:t xml:space="preserve">Por otra parte, el uso de arma de fuego y arma blanca, son los principales métodos empleados para cometer los femicidios (Ver </w:t>
      </w:r>
      <w:r>
        <w:rPr>
          <w:rFonts w:eastAsia="Times New Roman"/>
          <w:b/>
          <w:bCs/>
          <w:sz w:val="24"/>
          <w:szCs w:val="24"/>
        </w:rPr>
        <w:t>tabla N°1</w:t>
      </w:r>
      <w:r>
        <w:rPr>
          <w:rFonts w:eastAsia="Times New Roman"/>
          <w:sz w:val="24"/>
          <w:szCs w:val="24"/>
        </w:rPr>
        <w:t>). Según datos del Ministerio de Seguridad Pública, de incidentes reportados a la central de comunicaciones en el 2018, s</w:t>
      </w:r>
      <w:r>
        <w:rPr>
          <w:rFonts w:eastAsia="Times New Roman"/>
          <w:sz w:val="24"/>
          <w:szCs w:val="24"/>
        </w:rPr>
        <w:t>e atendieron 50 mujeres heridas por arma de fuego y 30 por arma blanca, este comportamiento podría indicar que el mayor acceso a armas de fuego se refleja en un mayor uso para ejercer violencia en contra de las mujeres, ya que son heridas o amenazadas y la</w:t>
      </w:r>
      <w:r>
        <w:rPr>
          <w:rFonts w:eastAsia="Times New Roman"/>
          <w:sz w:val="24"/>
          <w:szCs w:val="24"/>
        </w:rPr>
        <w:t xml:space="preserve"> sola presencia de un arma en un contexto de violencia doméstica o intrafamiliar genera mayores niveles de violencia psicológica y estrés en las mujeres, aunque no se materialice en femicidios.</w:t>
      </w:r>
    </w:p>
    <w:p w14:paraId="78AE9951" w14:textId="77777777" w:rsidR="00EF26BC" w:rsidRDefault="00EF26BC">
      <w:pPr>
        <w:spacing w:line="156" w:lineRule="exact"/>
        <w:rPr>
          <w:sz w:val="20"/>
          <w:szCs w:val="20"/>
        </w:rPr>
      </w:pPr>
    </w:p>
    <w:p w14:paraId="78AE9952" w14:textId="77777777" w:rsidR="00EF26BC" w:rsidRDefault="00343DF1">
      <w:pPr>
        <w:spacing w:line="258" w:lineRule="auto"/>
        <w:ind w:left="820" w:right="1800"/>
        <w:jc w:val="both"/>
        <w:rPr>
          <w:sz w:val="20"/>
          <w:szCs w:val="20"/>
        </w:rPr>
      </w:pPr>
      <w:r>
        <w:rPr>
          <w:rFonts w:eastAsia="Times New Roman"/>
          <w:sz w:val="23"/>
          <w:szCs w:val="23"/>
        </w:rPr>
        <w:t xml:space="preserve">Lo anterior concuerda con varios estudios </w:t>
      </w:r>
      <w:r>
        <w:rPr>
          <w:rFonts w:eastAsia="Times New Roman"/>
          <w:sz w:val="23"/>
          <w:szCs w:val="23"/>
        </w:rPr>
        <w:t>realizados desde el año 2005 en América Latina por el Grupo de Estudios de Paz, en Río de Janeiro (Brasil), San Salvador (El Salvador) y en el continente africano, especialmente en Maputo (Mozambique), que han logrado identificar cómo la demanda de armas p</w:t>
      </w:r>
      <w:r>
        <w:rPr>
          <w:rFonts w:eastAsia="Times New Roman"/>
          <w:sz w:val="23"/>
          <w:szCs w:val="23"/>
        </w:rPr>
        <w:t>equeñas está conformada por las identidades y relaciones de género, y cómo expectativas y roles de género son un producto de y son afectados por la violencia armada. Además, se ha identificado que la presencia de un arma de fuego en el hogar</w:t>
      </w:r>
    </w:p>
    <w:p w14:paraId="78AE9953" w14:textId="77777777" w:rsidR="00EF26BC" w:rsidRDefault="00EF26BC">
      <w:pPr>
        <w:spacing w:line="200" w:lineRule="exact"/>
        <w:rPr>
          <w:sz w:val="20"/>
          <w:szCs w:val="20"/>
        </w:rPr>
      </w:pPr>
    </w:p>
    <w:p w14:paraId="78AE9954" w14:textId="77777777" w:rsidR="00EF26BC" w:rsidRDefault="00EF26BC">
      <w:pPr>
        <w:spacing w:line="342"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958" w14:textId="77777777">
        <w:trPr>
          <w:trHeight w:val="240"/>
        </w:trPr>
        <w:tc>
          <w:tcPr>
            <w:tcW w:w="6920" w:type="dxa"/>
            <w:vAlign w:val="bottom"/>
          </w:tcPr>
          <w:p w14:paraId="78AE9955" w14:textId="77777777" w:rsidR="00EF26BC" w:rsidRDefault="00343DF1">
            <w:pPr>
              <w:ind w:right="1099"/>
              <w:jc w:val="center"/>
              <w:rPr>
                <w:sz w:val="20"/>
                <w:szCs w:val="20"/>
              </w:rPr>
            </w:pPr>
            <w:r>
              <w:rPr>
                <w:rFonts w:ascii="Arial" w:eastAsia="Arial" w:hAnsi="Arial" w:cs="Arial"/>
                <w:w w:val="96"/>
                <w:sz w:val="20"/>
                <w:szCs w:val="20"/>
              </w:rPr>
              <w:t xml:space="preserve">Anuario del </w:t>
            </w:r>
            <w:r>
              <w:rPr>
                <w:rFonts w:ascii="Arial" w:eastAsia="Arial" w:hAnsi="Arial" w:cs="Arial"/>
                <w:w w:val="96"/>
                <w:sz w:val="20"/>
                <w:szCs w:val="20"/>
              </w:rPr>
              <w:t>Centro de Investigación y Estudios Políticos</w:t>
            </w:r>
          </w:p>
        </w:tc>
        <w:tc>
          <w:tcPr>
            <w:tcW w:w="1580" w:type="dxa"/>
            <w:vMerge w:val="restart"/>
            <w:vAlign w:val="bottom"/>
          </w:tcPr>
          <w:p w14:paraId="78AE9956" w14:textId="77777777" w:rsidR="00EF26BC" w:rsidRDefault="00343DF1">
            <w:pPr>
              <w:jc w:val="right"/>
              <w:rPr>
                <w:sz w:val="20"/>
                <w:szCs w:val="20"/>
              </w:rPr>
            </w:pPr>
            <w:r>
              <w:rPr>
                <w:rFonts w:ascii="Arial" w:eastAsia="Arial" w:hAnsi="Arial" w:cs="Arial"/>
              </w:rPr>
              <w:t>105</w:t>
            </w:r>
          </w:p>
        </w:tc>
        <w:tc>
          <w:tcPr>
            <w:tcW w:w="0" w:type="dxa"/>
            <w:vAlign w:val="bottom"/>
          </w:tcPr>
          <w:p w14:paraId="78AE9957" w14:textId="77777777" w:rsidR="00EF26BC" w:rsidRDefault="00EF26BC">
            <w:pPr>
              <w:rPr>
                <w:sz w:val="1"/>
                <w:szCs w:val="1"/>
              </w:rPr>
            </w:pPr>
          </w:p>
        </w:tc>
      </w:tr>
      <w:tr w:rsidR="00EF26BC" w14:paraId="78AE995C" w14:textId="77777777">
        <w:trPr>
          <w:trHeight w:val="260"/>
        </w:trPr>
        <w:tc>
          <w:tcPr>
            <w:tcW w:w="6920" w:type="dxa"/>
            <w:vAlign w:val="bottom"/>
          </w:tcPr>
          <w:p w14:paraId="78AE9959"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95A" w14:textId="77777777" w:rsidR="00EF26BC" w:rsidRDefault="00EF26BC"/>
        </w:tc>
        <w:tc>
          <w:tcPr>
            <w:tcW w:w="0" w:type="dxa"/>
            <w:vAlign w:val="bottom"/>
          </w:tcPr>
          <w:p w14:paraId="78AE995B" w14:textId="77777777" w:rsidR="00EF26BC" w:rsidRDefault="00EF26BC">
            <w:pPr>
              <w:rPr>
                <w:sz w:val="1"/>
                <w:szCs w:val="1"/>
              </w:rPr>
            </w:pPr>
          </w:p>
        </w:tc>
      </w:tr>
    </w:tbl>
    <w:p w14:paraId="78AE995D" w14:textId="77777777" w:rsidR="00EF26BC" w:rsidRDefault="00EF26BC">
      <w:pPr>
        <w:sectPr w:rsidR="00EF26BC">
          <w:pgSz w:w="12240" w:h="15840"/>
          <w:pgMar w:top="714" w:right="480" w:bottom="121" w:left="1440" w:header="0" w:footer="0" w:gutter="0"/>
          <w:cols w:space="720" w:equalWidth="0">
            <w:col w:w="10320"/>
          </w:cols>
        </w:sectPr>
      </w:pPr>
    </w:p>
    <w:p w14:paraId="78AE995E" w14:textId="77777777" w:rsidR="00EF26BC" w:rsidRDefault="00343DF1">
      <w:pPr>
        <w:ind w:left="3700"/>
        <w:rPr>
          <w:sz w:val="20"/>
          <w:szCs w:val="20"/>
        </w:rPr>
      </w:pPr>
      <w:bookmarkStart w:id="17" w:name="page18"/>
      <w:bookmarkEnd w:id="17"/>
      <w:r>
        <w:rPr>
          <w:rFonts w:ascii="Arial" w:eastAsia="Arial" w:hAnsi="Arial" w:cs="Arial"/>
          <w:sz w:val="20"/>
          <w:szCs w:val="20"/>
        </w:rPr>
        <w:lastRenderedPageBreak/>
        <w:t>Marcela Piedra Durán</w:t>
      </w:r>
    </w:p>
    <w:p w14:paraId="78AE995F" w14:textId="77777777" w:rsidR="00EF26BC" w:rsidRDefault="00EF26BC">
      <w:pPr>
        <w:spacing w:line="200" w:lineRule="exact"/>
        <w:rPr>
          <w:sz w:val="20"/>
          <w:szCs w:val="20"/>
        </w:rPr>
      </w:pPr>
    </w:p>
    <w:p w14:paraId="78AE9960" w14:textId="77777777" w:rsidR="00EF26BC" w:rsidRDefault="00EF26BC">
      <w:pPr>
        <w:spacing w:line="331" w:lineRule="exact"/>
        <w:rPr>
          <w:sz w:val="20"/>
          <w:szCs w:val="20"/>
        </w:rPr>
      </w:pPr>
    </w:p>
    <w:p w14:paraId="78AE9961" w14:textId="77777777" w:rsidR="00EF26BC" w:rsidRDefault="00343DF1">
      <w:pPr>
        <w:spacing w:line="253" w:lineRule="auto"/>
        <w:ind w:left="820" w:right="1820"/>
        <w:jc w:val="both"/>
        <w:rPr>
          <w:sz w:val="20"/>
          <w:szCs w:val="20"/>
        </w:rPr>
      </w:pPr>
      <w:r>
        <w:rPr>
          <w:rFonts w:eastAsia="Times New Roman"/>
          <w:sz w:val="24"/>
          <w:szCs w:val="24"/>
        </w:rPr>
        <w:t xml:space="preserve">también puede facilitar la violencia contra las mujeres y las niñas, se utilizan con </w:t>
      </w:r>
      <w:r>
        <w:rPr>
          <w:rFonts w:eastAsia="Times New Roman"/>
          <w:sz w:val="24"/>
          <w:szCs w:val="24"/>
        </w:rPr>
        <w:t>frecuencia para amenazar a la pareja en casos de violencia doméstica aumentando las posibilidades de que los resultados de la violencia doméstica lleven a femicidios (Initiative for Peacebuilding, 2011).</w:t>
      </w:r>
    </w:p>
    <w:p w14:paraId="78AE9962" w14:textId="77777777" w:rsidR="00EF26BC" w:rsidRDefault="00EF26BC">
      <w:pPr>
        <w:spacing w:line="200" w:lineRule="exact"/>
        <w:rPr>
          <w:sz w:val="20"/>
          <w:szCs w:val="20"/>
        </w:rPr>
      </w:pPr>
    </w:p>
    <w:p w14:paraId="78AE9963" w14:textId="77777777" w:rsidR="00EF26BC" w:rsidRDefault="00EF26BC">
      <w:pPr>
        <w:spacing w:line="216" w:lineRule="exact"/>
        <w:rPr>
          <w:sz w:val="20"/>
          <w:szCs w:val="20"/>
        </w:rPr>
      </w:pPr>
    </w:p>
    <w:p w14:paraId="78AE9964" w14:textId="77777777" w:rsidR="00EF26BC" w:rsidRDefault="00343DF1">
      <w:pPr>
        <w:ind w:right="1000"/>
        <w:jc w:val="center"/>
        <w:rPr>
          <w:sz w:val="20"/>
          <w:szCs w:val="20"/>
        </w:rPr>
      </w:pPr>
      <w:r>
        <w:rPr>
          <w:rFonts w:eastAsia="Times New Roman"/>
          <w:b/>
          <w:bCs/>
        </w:rPr>
        <w:t>Tabla N°1.</w:t>
      </w:r>
    </w:p>
    <w:p w14:paraId="78AE9965" w14:textId="77777777" w:rsidR="00EF26BC" w:rsidRDefault="00EF26BC">
      <w:pPr>
        <w:spacing w:line="34" w:lineRule="exact"/>
        <w:rPr>
          <w:sz w:val="20"/>
          <w:szCs w:val="20"/>
        </w:rPr>
      </w:pPr>
    </w:p>
    <w:p w14:paraId="78AE9966" w14:textId="77777777" w:rsidR="00EF26BC" w:rsidRDefault="00343DF1">
      <w:pPr>
        <w:ind w:right="940"/>
        <w:jc w:val="center"/>
        <w:rPr>
          <w:sz w:val="20"/>
          <w:szCs w:val="20"/>
        </w:rPr>
      </w:pPr>
      <w:r>
        <w:rPr>
          <w:rFonts w:eastAsia="Times New Roman"/>
          <w:b/>
          <w:bCs/>
        </w:rPr>
        <w:t xml:space="preserve">Principales métodos empleados para </w:t>
      </w:r>
      <w:r>
        <w:rPr>
          <w:rFonts w:eastAsia="Times New Roman"/>
          <w:b/>
          <w:bCs/>
        </w:rPr>
        <w:t>cometer femicidios y cantidad de casos en</w:t>
      </w:r>
    </w:p>
    <w:p w14:paraId="78AE9967" w14:textId="77777777" w:rsidR="00EF26BC" w:rsidRDefault="00343DF1">
      <w:pPr>
        <w:spacing w:line="232" w:lineRule="auto"/>
        <w:ind w:right="980"/>
        <w:jc w:val="center"/>
        <w:rPr>
          <w:sz w:val="20"/>
          <w:szCs w:val="20"/>
        </w:rPr>
      </w:pPr>
      <w:r>
        <w:rPr>
          <w:rFonts w:eastAsia="Times New Roman"/>
          <w:b/>
          <w:bCs/>
        </w:rPr>
        <w:t>Costa Rica para el periodo 2008-2019</w:t>
      </w:r>
    </w:p>
    <w:tbl>
      <w:tblPr>
        <w:tblW w:w="0" w:type="auto"/>
        <w:tblInd w:w="830" w:type="dxa"/>
        <w:tblLayout w:type="fixed"/>
        <w:tblCellMar>
          <w:left w:w="0" w:type="dxa"/>
          <w:right w:w="0" w:type="dxa"/>
        </w:tblCellMar>
        <w:tblLook w:val="04A0" w:firstRow="1" w:lastRow="0" w:firstColumn="1" w:lastColumn="0" w:noHBand="0" w:noVBand="1"/>
      </w:tblPr>
      <w:tblGrid>
        <w:gridCol w:w="1560"/>
        <w:gridCol w:w="1540"/>
        <w:gridCol w:w="1540"/>
        <w:gridCol w:w="1520"/>
        <w:gridCol w:w="1560"/>
        <w:gridCol w:w="30"/>
      </w:tblGrid>
      <w:tr w:rsidR="00EF26BC" w14:paraId="78AE996D" w14:textId="77777777">
        <w:trPr>
          <w:trHeight w:val="344"/>
        </w:trPr>
        <w:tc>
          <w:tcPr>
            <w:tcW w:w="1560" w:type="dxa"/>
            <w:vMerge w:val="restart"/>
            <w:tcBorders>
              <w:top w:val="single" w:sz="8" w:space="0" w:color="auto"/>
              <w:left w:val="single" w:sz="8" w:space="0" w:color="auto"/>
              <w:right w:val="single" w:sz="8" w:space="0" w:color="auto"/>
            </w:tcBorders>
            <w:vAlign w:val="bottom"/>
          </w:tcPr>
          <w:p w14:paraId="78AE9968" w14:textId="77777777" w:rsidR="00EF26BC" w:rsidRDefault="00343DF1">
            <w:pPr>
              <w:jc w:val="center"/>
              <w:rPr>
                <w:sz w:val="20"/>
                <w:szCs w:val="20"/>
              </w:rPr>
            </w:pPr>
            <w:r>
              <w:rPr>
                <w:rFonts w:eastAsia="Times New Roman"/>
                <w:b/>
                <w:bCs/>
                <w:sz w:val="20"/>
                <w:szCs w:val="20"/>
              </w:rPr>
              <w:t>Año</w:t>
            </w:r>
          </w:p>
        </w:tc>
        <w:tc>
          <w:tcPr>
            <w:tcW w:w="1540" w:type="dxa"/>
            <w:tcBorders>
              <w:top w:val="single" w:sz="8" w:space="0" w:color="auto"/>
            </w:tcBorders>
            <w:vAlign w:val="bottom"/>
          </w:tcPr>
          <w:p w14:paraId="78AE9969" w14:textId="77777777" w:rsidR="00EF26BC" w:rsidRDefault="00EF26BC">
            <w:pPr>
              <w:rPr>
                <w:sz w:val="24"/>
                <w:szCs w:val="24"/>
              </w:rPr>
            </w:pPr>
          </w:p>
        </w:tc>
        <w:tc>
          <w:tcPr>
            <w:tcW w:w="3060" w:type="dxa"/>
            <w:gridSpan w:val="2"/>
            <w:tcBorders>
              <w:top w:val="single" w:sz="8" w:space="0" w:color="auto"/>
            </w:tcBorders>
            <w:vAlign w:val="bottom"/>
          </w:tcPr>
          <w:p w14:paraId="78AE996A" w14:textId="77777777" w:rsidR="00EF26BC" w:rsidRDefault="00343DF1">
            <w:pPr>
              <w:ind w:left="760"/>
              <w:rPr>
                <w:sz w:val="20"/>
                <w:szCs w:val="20"/>
              </w:rPr>
            </w:pPr>
            <w:r>
              <w:rPr>
                <w:rFonts w:eastAsia="Times New Roman"/>
                <w:b/>
                <w:bCs/>
                <w:sz w:val="20"/>
                <w:szCs w:val="20"/>
              </w:rPr>
              <w:t>Método empleado</w:t>
            </w:r>
          </w:p>
        </w:tc>
        <w:tc>
          <w:tcPr>
            <w:tcW w:w="1560" w:type="dxa"/>
            <w:tcBorders>
              <w:top w:val="single" w:sz="8" w:space="0" w:color="auto"/>
              <w:right w:val="single" w:sz="8" w:space="0" w:color="auto"/>
            </w:tcBorders>
            <w:vAlign w:val="bottom"/>
          </w:tcPr>
          <w:p w14:paraId="78AE996B" w14:textId="77777777" w:rsidR="00EF26BC" w:rsidRDefault="00EF26BC">
            <w:pPr>
              <w:rPr>
                <w:sz w:val="24"/>
                <w:szCs w:val="24"/>
              </w:rPr>
            </w:pPr>
          </w:p>
        </w:tc>
        <w:tc>
          <w:tcPr>
            <w:tcW w:w="0" w:type="dxa"/>
            <w:vAlign w:val="bottom"/>
          </w:tcPr>
          <w:p w14:paraId="78AE996C" w14:textId="77777777" w:rsidR="00EF26BC" w:rsidRDefault="00EF26BC">
            <w:pPr>
              <w:rPr>
                <w:sz w:val="1"/>
                <w:szCs w:val="1"/>
              </w:rPr>
            </w:pPr>
          </w:p>
        </w:tc>
      </w:tr>
      <w:tr w:rsidR="00EF26BC" w14:paraId="78AE9974" w14:textId="77777777">
        <w:trPr>
          <w:trHeight w:val="78"/>
        </w:trPr>
        <w:tc>
          <w:tcPr>
            <w:tcW w:w="1560" w:type="dxa"/>
            <w:vMerge/>
            <w:tcBorders>
              <w:left w:val="single" w:sz="8" w:space="0" w:color="auto"/>
              <w:bottom w:val="single" w:sz="8" w:space="0" w:color="auto"/>
              <w:right w:val="single" w:sz="8" w:space="0" w:color="auto"/>
            </w:tcBorders>
            <w:vAlign w:val="bottom"/>
          </w:tcPr>
          <w:p w14:paraId="78AE996E" w14:textId="77777777" w:rsidR="00EF26BC" w:rsidRDefault="00EF26BC">
            <w:pPr>
              <w:rPr>
                <w:sz w:val="6"/>
                <w:szCs w:val="6"/>
              </w:rPr>
            </w:pPr>
          </w:p>
        </w:tc>
        <w:tc>
          <w:tcPr>
            <w:tcW w:w="1540" w:type="dxa"/>
            <w:tcBorders>
              <w:bottom w:val="single" w:sz="8" w:space="0" w:color="auto"/>
            </w:tcBorders>
            <w:vAlign w:val="bottom"/>
          </w:tcPr>
          <w:p w14:paraId="78AE996F" w14:textId="77777777" w:rsidR="00EF26BC" w:rsidRDefault="00EF26BC">
            <w:pPr>
              <w:rPr>
                <w:sz w:val="6"/>
                <w:szCs w:val="6"/>
              </w:rPr>
            </w:pPr>
          </w:p>
        </w:tc>
        <w:tc>
          <w:tcPr>
            <w:tcW w:w="1540" w:type="dxa"/>
            <w:tcBorders>
              <w:bottom w:val="single" w:sz="8" w:space="0" w:color="auto"/>
            </w:tcBorders>
            <w:vAlign w:val="bottom"/>
          </w:tcPr>
          <w:p w14:paraId="78AE9970" w14:textId="77777777" w:rsidR="00EF26BC" w:rsidRDefault="00EF26BC">
            <w:pPr>
              <w:rPr>
                <w:sz w:val="6"/>
                <w:szCs w:val="6"/>
              </w:rPr>
            </w:pPr>
          </w:p>
        </w:tc>
        <w:tc>
          <w:tcPr>
            <w:tcW w:w="1520" w:type="dxa"/>
            <w:tcBorders>
              <w:bottom w:val="single" w:sz="8" w:space="0" w:color="auto"/>
            </w:tcBorders>
            <w:vAlign w:val="bottom"/>
          </w:tcPr>
          <w:p w14:paraId="78AE9971"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72" w14:textId="77777777" w:rsidR="00EF26BC" w:rsidRDefault="00EF26BC">
            <w:pPr>
              <w:rPr>
                <w:sz w:val="6"/>
                <w:szCs w:val="6"/>
              </w:rPr>
            </w:pPr>
          </w:p>
        </w:tc>
        <w:tc>
          <w:tcPr>
            <w:tcW w:w="0" w:type="dxa"/>
            <w:vAlign w:val="bottom"/>
          </w:tcPr>
          <w:p w14:paraId="78AE9973" w14:textId="77777777" w:rsidR="00EF26BC" w:rsidRDefault="00EF26BC">
            <w:pPr>
              <w:rPr>
                <w:sz w:val="1"/>
                <w:szCs w:val="1"/>
              </w:rPr>
            </w:pPr>
          </w:p>
        </w:tc>
      </w:tr>
      <w:tr w:rsidR="00EF26BC" w14:paraId="78AE997B" w14:textId="77777777">
        <w:trPr>
          <w:trHeight w:val="123"/>
        </w:trPr>
        <w:tc>
          <w:tcPr>
            <w:tcW w:w="1560" w:type="dxa"/>
            <w:vMerge/>
            <w:tcBorders>
              <w:left w:val="single" w:sz="8" w:space="0" w:color="auto"/>
              <w:right w:val="single" w:sz="8" w:space="0" w:color="auto"/>
            </w:tcBorders>
            <w:vAlign w:val="bottom"/>
          </w:tcPr>
          <w:p w14:paraId="78AE9975" w14:textId="77777777" w:rsidR="00EF26BC" w:rsidRDefault="00EF26BC">
            <w:pPr>
              <w:rPr>
                <w:sz w:val="10"/>
                <w:szCs w:val="10"/>
              </w:rPr>
            </w:pPr>
          </w:p>
        </w:tc>
        <w:tc>
          <w:tcPr>
            <w:tcW w:w="1540" w:type="dxa"/>
            <w:vMerge w:val="restart"/>
            <w:tcBorders>
              <w:right w:val="single" w:sz="8" w:space="0" w:color="auto"/>
            </w:tcBorders>
            <w:vAlign w:val="bottom"/>
          </w:tcPr>
          <w:p w14:paraId="78AE9976" w14:textId="77777777" w:rsidR="00EF26BC" w:rsidRDefault="00343DF1">
            <w:pPr>
              <w:ind w:left="140"/>
              <w:rPr>
                <w:sz w:val="20"/>
                <w:szCs w:val="20"/>
              </w:rPr>
            </w:pPr>
            <w:r>
              <w:rPr>
                <w:rFonts w:eastAsia="Times New Roman"/>
                <w:sz w:val="20"/>
                <w:szCs w:val="20"/>
              </w:rPr>
              <w:t>Arma de Fuego</w:t>
            </w:r>
          </w:p>
        </w:tc>
        <w:tc>
          <w:tcPr>
            <w:tcW w:w="1540" w:type="dxa"/>
            <w:vMerge w:val="restart"/>
            <w:tcBorders>
              <w:right w:val="single" w:sz="8" w:space="0" w:color="auto"/>
            </w:tcBorders>
            <w:vAlign w:val="bottom"/>
          </w:tcPr>
          <w:p w14:paraId="78AE9977" w14:textId="77777777" w:rsidR="00EF26BC" w:rsidRDefault="00343DF1">
            <w:pPr>
              <w:ind w:left="220"/>
              <w:rPr>
                <w:sz w:val="20"/>
                <w:szCs w:val="20"/>
              </w:rPr>
            </w:pPr>
            <w:r>
              <w:rPr>
                <w:rFonts w:eastAsia="Times New Roman"/>
                <w:sz w:val="20"/>
                <w:szCs w:val="20"/>
              </w:rPr>
              <w:t>Arma Blanca</w:t>
            </w:r>
          </w:p>
        </w:tc>
        <w:tc>
          <w:tcPr>
            <w:tcW w:w="1520" w:type="dxa"/>
            <w:vMerge w:val="restart"/>
            <w:tcBorders>
              <w:right w:val="single" w:sz="8" w:space="0" w:color="auto"/>
            </w:tcBorders>
            <w:vAlign w:val="bottom"/>
          </w:tcPr>
          <w:p w14:paraId="78AE9978" w14:textId="77777777" w:rsidR="00EF26BC" w:rsidRDefault="00343DF1">
            <w:pPr>
              <w:ind w:left="460"/>
              <w:rPr>
                <w:sz w:val="20"/>
                <w:szCs w:val="20"/>
              </w:rPr>
            </w:pPr>
            <w:r>
              <w:rPr>
                <w:rFonts w:eastAsia="Times New Roman"/>
                <w:sz w:val="20"/>
                <w:szCs w:val="20"/>
              </w:rPr>
              <w:t>Asfixia</w:t>
            </w:r>
          </w:p>
        </w:tc>
        <w:tc>
          <w:tcPr>
            <w:tcW w:w="1560" w:type="dxa"/>
            <w:vMerge w:val="restart"/>
            <w:tcBorders>
              <w:right w:val="single" w:sz="8" w:space="0" w:color="auto"/>
            </w:tcBorders>
            <w:vAlign w:val="bottom"/>
          </w:tcPr>
          <w:p w14:paraId="78AE9979" w14:textId="77777777" w:rsidR="00EF26BC" w:rsidRDefault="00343DF1">
            <w:pPr>
              <w:ind w:left="580"/>
              <w:rPr>
                <w:sz w:val="20"/>
                <w:szCs w:val="20"/>
              </w:rPr>
            </w:pPr>
            <w:r>
              <w:rPr>
                <w:rFonts w:eastAsia="Times New Roman"/>
                <w:sz w:val="20"/>
                <w:szCs w:val="20"/>
              </w:rPr>
              <w:t>Otro</w:t>
            </w:r>
          </w:p>
        </w:tc>
        <w:tc>
          <w:tcPr>
            <w:tcW w:w="0" w:type="dxa"/>
            <w:vAlign w:val="bottom"/>
          </w:tcPr>
          <w:p w14:paraId="78AE997A" w14:textId="77777777" w:rsidR="00EF26BC" w:rsidRDefault="00EF26BC">
            <w:pPr>
              <w:rPr>
                <w:sz w:val="1"/>
                <w:szCs w:val="1"/>
              </w:rPr>
            </w:pPr>
          </w:p>
        </w:tc>
      </w:tr>
      <w:tr w:rsidR="00EF26BC" w14:paraId="78AE9982" w14:textId="77777777">
        <w:trPr>
          <w:trHeight w:val="215"/>
        </w:trPr>
        <w:tc>
          <w:tcPr>
            <w:tcW w:w="1560" w:type="dxa"/>
            <w:tcBorders>
              <w:left w:val="single" w:sz="8" w:space="0" w:color="auto"/>
              <w:right w:val="single" w:sz="8" w:space="0" w:color="auto"/>
            </w:tcBorders>
            <w:vAlign w:val="bottom"/>
          </w:tcPr>
          <w:p w14:paraId="78AE997C" w14:textId="77777777" w:rsidR="00EF26BC" w:rsidRDefault="00EF26BC">
            <w:pPr>
              <w:rPr>
                <w:sz w:val="18"/>
                <w:szCs w:val="18"/>
              </w:rPr>
            </w:pPr>
          </w:p>
        </w:tc>
        <w:tc>
          <w:tcPr>
            <w:tcW w:w="1540" w:type="dxa"/>
            <w:vMerge/>
            <w:tcBorders>
              <w:right w:val="single" w:sz="8" w:space="0" w:color="auto"/>
            </w:tcBorders>
            <w:vAlign w:val="bottom"/>
          </w:tcPr>
          <w:p w14:paraId="78AE997D" w14:textId="77777777" w:rsidR="00EF26BC" w:rsidRDefault="00EF26BC">
            <w:pPr>
              <w:rPr>
                <w:sz w:val="18"/>
                <w:szCs w:val="18"/>
              </w:rPr>
            </w:pPr>
          </w:p>
        </w:tc>
        <w:tc>
          <w:tcPr>
            <w:tcW w:w="1540" w:type="dxa"/>
            <w:vMerge/>
            <w:tcBorders>
              <w:right w:val="single" w:sz="8" w:space="0" w:color="auto"/>
            </w:tcBorders>
            <w:vAlign w:val="bottom"/>
          </w:tcPr>
          <w:p w14:paraId="78AE997E" w14:textId="77777777" w:rsidR="00EF26BC" w:rsidRDefault="00EF26BC">
            <w:pPr>
              <w:rPr>
                <w:sz w:val="18"/>
                <w:szCs w:val="18"/>
              </w:rPr>
            </w:pPr>
          </w:p>
        </w:tc>
        <w:tc>
          <w:tcPr>
            <w:tcW w:w="1520" w:type="dxa"/>
            <w:vMerge/>
            <w:tcBorders>
              <w:right w:val="single" w:sz="8" w:space="0" w:color="auto"/>
            </w:tcBorders>
            <w:vAlign w:val="bottom"/>
          </w:tcPr>
          <w:p w14:paraId="78AE997F" w14:textId="77777777" w:rsidR="00EF26BC" w:rsidRDefault="00EF26BC">
            <w:pPr>
              <w:rPr>
                <w:sz w:val="18"/>
                <w:szCs w:val="18"/>
              </w:rPr>
            </w:pPr>
          </w:p>
        </w:tc>
        <w:tc>
          <w:tcPr>
            <w:tcW w:w="1560" w:type="dxa"/>
            <w:vMerge/>
            <w:tcBorders>
              <w:right w:val="single" w:sz="8" w:space="0" w:color="auto"/>
            </w:tcBorders>
            <w:vAlign w:val="bottom"/>
          </w:tcPr>
          <w:p w14:paraId="78AE9980" w14:textId="77777777" w:rsidR="00EF26BC" w:rsidRDefault="00EF26BC">
            <w:pPr>
              <w:rPr>
                <w:sz w:val="18"/>
                <w:szCs w:val="18"/>
              </w:rPr>
            </w:pPr>
          </w:p>
        </w:tc>
        <w:tc>
          <w:tcPr>
            <w:tcW w:w="0" w:type="dxa"/>
            <w:vAlign w:val="bottom"/>
          </w:tcPr>
          <w:p w14:paraId="78AE9981" w14:textId="77777777" w:rsidR="00EF26BC" w:rsidRDefault="00EF26BC">
            <w:pPr>
              <w:rPr>
                <w:sz w:val="1"/>
                <w:szCs w:val="1"/>
              </w:rPr>
            </w:pPr>
          </w:p>
        </w:tc>
      </w:tr>
      <w:tr w:rsidR="00EF26BC" w14:paraId="78AE9989" w14:textId="77777777">
        <w:trPr>
          <w:trHeight w:val="84"/>
        </w:trPr>
        <w:tc>
          <w:tcPr>
            <w:tcW w:w="1560" w:type="dxa"/>
            <w:tcBorders>
              <w:left w:val="single" w:sz="8" w:space="0" w:color="auto"/>
              <w:bottom w:val="single" w:sz="8" w:space="0" w:color="auto"/>
              <w:right w:val="single" w:sz="8" w:space="0" w:color="auto"/>
            </w:tcBorders>
            <w:vAlign w:val="bottom"/>
          </w:tcPr>
          <w:p w14:paraId="78AE9983" w14:textId="77777777" w:rsidR="00EF26BC" w:rsidRDefault="00EF26BC">
            <w:pPr>
              <w:rPr>
                <w:sz w:val="7"/>
                <w:szCs w:val="7"/>
              </w:rPr>
            </w:pPr>
          </w:p>
        </w:tc>
        <w:tc>
          <w:tcPr>
            <w:tcW w:w="1540" w:type="dxa"/>
            <w:tcBorders>
              <w:bottom w:val="single" w:sz="8" w:space="0" w:color="auto"/>
              <w:right w:val="single" w:sz="8" w:space="0" w:color="auto"/>
            </w:tcBorders>
            <w:vAlign w:val="bottom"/>
          </w:tcPr>
          <w:p w14:paraId="78AE9984" w14:textId="77777777" w:rsidR="00EF26BC" w:rsidRDefault="00EF26BC">
            <w:pPr>
              <w:rPr>
                <w:sz w:val="7"/>
                <w:szCs w:val="7"/>
              </w:rPr>
            </w:pPr>
          </w:p>
        </w:tc>
        <w:tc>
          <w:tcPr>
            <w:tcW w:w="1540" w:type="dxa"/>
            <w:tcBorders>
              <w:bottom w:val="single" w:sz="8" w:space="0" w:color="auto"/>
              <w:right w:val="single" w:sz="8" w:space="0" w:color="auto"/>
            </w:tcBorders>
            <w:vAlign w:val="bottom"/>
          </w:tcPr>
          <w:p w14:paraId="78AE9985" w14:textId="77777777" w:rsidR="00EF26BC" w:rsidRDefault="00EF26BC">
            <w:pPr>
              <w:rPr>
                <w:sz w:val="7"/>
                <w:szCs w:val="7"/>
              </w:rPr>
            </w:pPr>
          </w:p>
        </w:tc>
        <w:tc>
          <w:tcPr>
            <w:tcW w:w="1520" w:type="dxa"/>
            <w:tcBorders>
              <w:bottom w:val="single" w:sz="8" w:space="0" w:color="auto"/>
              <w:right w:val="single" w:sz="8" w:space="0" w:color="auto"/>
            </w:tcBorders>
            <w:vAlign w:val="bottom"/>
          </w:tcPr>
          <w:p w14:paraId="78AE9986" w14:textId="77777777" w:rsidR="00EF26BC" w:rsidRDefault="00EF26BC">
            <w:pPr>
              <w:rPr>
                <w:sz w:val="7"/>
                <w:szCs w:val="7"/>
              </w:rPr>
            </w:pPr>
          </w:p>
        </w:tc>
        <w:tc>
          <w:tcPr>
            <w:tcW w:w="1560" w:type="dxa"/>
            <w:tcBorders>
              <w:bottom w:val="single" w:sz="8" w:space="0" w:color="auto"/>
              <w:right w:val="single" w:sz="8" w:space="0" w:color="auto"/>
            </w:tcBorders>
            <w:vAlign w:val="bottom"/>
          </w:tcPr>
          <w:p w14:paraId="78AE9987" w14:textId="77777777" w:rsidR="00EF26BC" w:rsidRDefault="00EF26BC">
            <w:pPr>
              <w:rPr>
                <w:sz w:val="7"/>
                <w:szCs w:val="7"/>
              </w:rPr>
            </w:pPr>
          </w:p>
        </w:tc>
        <w:tc>
          <w:tcPr>
            <w:tcW w:w="0" w:type="dxa"/>
            <w:vAlign w:val="bottom"/>
          </w:tcPr>
          <w:p w14:paraId="78AE9988" w14:textId="77777777" w:rsidR="00EF26BC" w:rsidRDefault="00EF26BC">
            <w:pPr>
              <w:rPr>
                <w:sz w:val="1"/>
                <w:szCs w:val="1"/>
              </w:rPr>
            </w:pPr>
          </w:p>
        </w:tc>
      </w:tr>
      <w:tr w:rsidR="00EF26BC" w14:paraId="78AE9990" w14:textId="77777777">
        <w:trPr>
          <w:trHeight w:val="344"/>
        </w:trPr>
        <w:tc>
          <w:tcPr>
            <w:tcW w:w="1560" w:type="dxa"/>
            <w:tcBorders>
              <w:left w:val="single" w:sz="8" w:space="0" w:color="auto"/>
              <w:right w:val="single" w:sz="8" w:space="0" w:color="auto"/>
            </w:tcBorders>
            <w:vAlign w:val="bottom"/>
          </w:tcPr>
          <w:p w14:paraId="78AE998A" w14:textId="77777777" w:rsidR="00EF26BC" w:rsidRDefault="00343DF1">
            <w:pPr>
              <w:jc w:val="center"/>
              <w:rPr>
                <w:sz w:val="20"/>
                <w:szCs w:val="20"/>
              </w:rPr>
            </w:pPr>
            <w:r>
              <w:rPr>
                <w:rFonts w:eastAsia="Times New Roman"/>
                <w:b/>
                <w:bCs/>
                <w:w w:val="99"/>
                <w:sz w:val="20"/>
                <w:szCs w:val="20"/>
              </w:rPr>
              <w:t>2008</w:t>
            </w:r>
          </w:p>
        </w:tc>
        <w:tc>
          <w:tcPr>
            <w:tcW w:w="1540" w:type="dxa"/>
            <w:tcBorders>
              <w:right w:val="single" w:sz="8" w:space="0" w:color="auto"/>
            </w:tcBorders>
            <w:vAlign w:val="bottom"/>
          </w:tcPr>
          <w:p w14:paraId="78AE998B" w14:textId="77777777" w:rsidR="00EF26BC" w:rsidRDefault="00343DF1">
            <w:pPr>
              <w:jc w:val="center"/>
              <w:rPr>
                <w:sz w:val="20"/>
                <w:szCs w:val="20"/>
              </w:rPr>
            </w:pPr>
            <w:r>
              <w:rPr>
                <w:rFonts w:eastAsia="Times New Roman"/>
                <w:w w:val="99"/>
                <w:sz w:val="20"/>
                <w:szCs w:val="20"/>
              </w:rPr>
              <w:t>5</w:t>
            </w:r>
          </w:p>
        </w:tc>
        <w:tc>
          <w:tcPr>
            <w:tcW w:w="1540" w:type="dxa"/>
            <w:tcBorders>
              <w:right w:val="single" w:sz="8" w:space="0" w:color="auto"/>
            </w:tcBorders>
            <w:vAlign w:val="bottom"/>
          </w:tcPr>
          <w:p w14:paraId="78AE998C" w14:textId="77777777" w:rsidR="00EF26BC" w:rsidRDefault="00343DF1">
            <w:pPr>
              <w:jc w:val="center"/>
              <w:rPr>
                <w:sz w:val="20"/>
                <w:szCs w:val="20"/>
              </w:rPr>
            </w:pPr>
            <w:r>
              <w:rPr>
                <w:rFonts w:eastAsia="Times New Roman"/>
                <w:w w:val="99"/>
                <w:sz w:val="20"/>
                <w:szCs w:val="20"/>
              </w:rPr>
              <w:t>8</w:t>
            </w:r>
          </w:p>
        </w:tc>
        <w:tc>
          <w:tcPr>
            <w:tcW w:w="1520" w:type="dxa"/>
            <w:tcBorders>
              <w:right w:val="single" w:sz="8" w:space="0" w:color="auto"/>
            </w:tcBorders>
            <w:vAlign w:val="bottom"/>
          </w:tcPr>
          <w:p w14:paraId="78AE998D" w14:textId="77777777" w:rsidR="00EF26BC" w:rsidRDefault="00343DF1">
            <w:pPr>
              <w:jc w:val="center"/>
              <w:rPr>
                <w:sz w:val="20"/>
                <w:szCs w:val="20"/>
              </w:rPr>
            </w:pPr>
            <w:r>
              <w:rPr>
                <w:rFonts w:eastAsia="Times New Roman"/>
                <w:w w:val="99"/>
                <w:sz w:val="20"/>
                <w:szCs w:val="20"/>
              </w:rPr>
              <w:t>4</w:t>
            </w:r>
          </w:p>
        </w:tc>
        <w:tc>
          <w:tcPr>
            <w:tcW w:w="1560" w:type="dxa"/>
            <w:tcBorders>
              <w:right w:val="single" w:sz="8" w:space="0" w:color="auto"/>
            </w:tcBorders>
            <w:vAlign w:val="bottom"/>
          </w:tcPr>
          <w:p w14:paraId="78AE998E" w14:textId="77777777" w:rsidR="00EF26BC" w:rsidRDefault="00343DF1">
            <w:pPr>
              <w:jc w:val="center"/>
              <w:rPr>
                <w:sz w:val="20"/>
                <w:szCs w:val="20"/>
              </w:rPr>
            </w:pPr>
            <w:r>
              <w:rPr>
                <w:rFonts w:eastAsia="Times New Roman"/>
                <w:w w:val="99"/>
                <w:sz w:val="20"/>
                <w:szCs w:val="20"/>
              </w:rPr>
              <w:t>1</w:t>
            </w:r>
          </w:p>
        </w:tc>
        <w:tc>
          <w:tcPr>
            <w:tcW w:w="0" w:type="dxa"/>
            <w:vAlign w:val="bottom"/>
          </w:tcPr>
          <w:p w14:paraId="78AE998F" w14:textId="77777777" w:rsidR="00EF26BC" w:rsidRDefault="00EF26BC">
            <w:pPr>
              <w:rPr>
                <w:sz w:val="1"/>
                <w:szCs w:val="1"/>
              </w:rPr>
            </w:pPr>
          </w:p>
        </w:tc>
      </w:tr>
      <w:tr w:rsidR="00EF26BC" w14:paraId="78AE9997" w14:textId="77777777">
        <w:trPr>
          <w:trHeight w:val="73"/>
        </w:trPr>
        <w:tc>
          <w:tcPr>
            <w:tcW w:w="1560" w:type="dxa"/>
            <w:tcBorders>
              <w:left w:val="single" w:sz="8" w:space="0" w:color="auto"/>
              <w:bottom w:val="single" w:sz="8" w:space="0" w:color="auto"/>
              <w:right w:val="single" w:sz="8" w:space="0" w:color="auto"/>
            </w:tcBorders>
            <w:vAlign w:val="bottom"/>
          </w:tcPr>
          <w:p w14:paraId="78AE9991"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92"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93"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94"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95" w14:textId="77777777" w:rsidR="00EF26BC" w:rsidRDefault="00EF26BC">
            <w:pPr>
              <w:rPr>
                <w:sz w:val="6"/>
                <w:szCs w:val="6"/>
              </w:rPr>
            </w:pPr>
          </w:p>
        </w:tc>
        <w:tc>
          <w:tcPr>
            <w:tcW w:w="0" w:type="dxa"/>
            <w:vAlign w:val="bottom"/>
          </w:tcPr>
          <w:p w14:paraId="78AE9996" w14:textId="77777777" w:rsidR="00EF26BC" w:rsidRDefault="00EF26BC">
            <w:pPr>
              <w:rPr>
                <w:sz w:val="1"/>
                <w:szCs w:val="1"/>
              </w:rPr>
            </w:pPr>
          </w:p>
        </w:tc>
      </w:tr>
      <w:tr w:rsidR="00EF26BC" w14:paraId="78AE999E" w14:textId="77777777">
        <w:trPr>
          <w:trHeight w:val="344"/>
        </w:trPr>
        <w:tc>
          <w:tcPr>
            <w:tcW w:w="1560" w:type="dxa"/>
            <w:tcBorders>
              <w:left w:val="single" w:sz="8" w:space="0" w:color="auto"/>
              <w:right w:val="single" w:sz="8" w:space="0" w:color="auto"/>
            </w:tcBorders>
            <w:vAlign w:val="bottom"/>
          </w:tcPr>
          <w:p w14:paraId="78AE9998" w14:textId="77777777" w:rsidR="00EF26BC" w:rsidRDefault="00343DF1">
            <w:pPr>
              <w:jc w:val="center"/>
              <w:rPr>
                <w:sz w:val="20"/>
                <w:szCs w:val="20"/>
              </w:rPr>
            </w:pPr>
            <w:r>
              <w:rPr>
                <w:rFonts w:eastAsia="Times New Roman"/>
                <w:b/>
                <w:bCs/>
                <w:w w:val="99"/>
                <w:sz w:val="20"/>
                <w:szCs w:val="20"/>
              </w:rPr>
              <w:t>2009</w:t>
            </w:r>
          </w:p>
        </w:tc>
        <w:tc>
          <w:tcPr>
            <w:tcW w:w="1540" w:type="dxa"/>
            <w:tcBorders>
              <w:right w:val="single" w:sz="8" w:space="0" w:color="auto"/>
            </w:tcBorders>
            <w:vAlign w:val="bottom"/>
          </w:tcPr>
          <w:p w14:paraId="78AE9999" w14:textId="77777777" w:rsidR="00EF26BC" w:rsidRDefault="00343DF1">
            <w:pPr>
              <w:jc w:val="center"/>
              <w:rPr>
                <w:sz w:val="20"/>
                <w:szCs w:val="20"/>
              </w:rPr>
            </w:pPr>
            <w:r>
              <w:rPr>
                <w:rFonts w:eastAsia="Times New Roman"/>
                <w:w w:val="99"/>
                <w:sz w:val="20"/>
                <w:szCs w:val="20"/>
              </w:rPr>
              <w:t>1</w:t>
            </w:r>
          </w:p>
        </w:tc>
        <w:tc>
          <w:tcPr>
            <w:tcW w:w="1540" w:type="dxa"/>
            <w:tcBorders>
              <w:right w:val="single" w:sz="8" w:space="0" w:color="auto"/>
            </w:tcBorders>
            <w:vAlign w:val="bottom"/>
          </w:tcPr>
          <w:p w14:paraId="78AE999A" w14:textId="77777777" w:rsidR="00EF26BC" w:rsidRDefault="00343DF1">
            <w:pPr>
              <w:jc w:val="center"/>
              <w:rPr>
                <w:sz w:val="20"/>
                <w:szCs w:val="20"/>
              </w:rPr>
            </w:pPr>
            <w:r>
              <w:rPr>
                <w:rFonts w:eastAsia="Times New Roman"/>
                <w:w w:val="99"/>
                <w:sz w:val="20"/>
                <w:szCs w:val="20"/>
              </w:rPr>
              <w:t>8</w:t>
            </w:r>
          </w:p>
        </w:tc>
        <w:tc>
          <w:tcPr>
            <w:tcW w:w="1520" w:type="dxa"/>
            <w:tcBorders>
              <w:right w:val="single" w:sz="8" w:space="0" w:color="auto"/>
            </w:tcBorders>
            <w:vAlign w:val="bottom"/>
          </w:tcPr>
          <w:p w14:paraId="78AE999B" w14:textId="77777777" w:rsidR="00EF26BC" w:rsidRDefault="00343DF1">
            <w:pPr>
              <w:jc w:val="center"/>
              <w:rPr>
                <w:sz w:val="20"/>
                <w:szCs w:val="20"/>
              </w:rPr>
            </w:pPr>
            <w:r>
              <w:rPr>
                <w:rFonts w:eastAsia="Times New Roman"/>
                <w:w w:val="99"/>
                <w:sz w:val="20"/>
                <w:szCs w:val="20"/>
              </w:rPr>
              <w:t>4</w:t>
            </w:r>
          </w:p>
        </w:tc>
        <w:tc>
          <w:tcPr>
            <w:tcW w:w="1560" w:type="dxa"/>
            <w:tcBorders>
              <w:right w:val="single" w:sz="8" w:space="0" w:color="auto"/>
            </w:tcBorders>
            <w:vAlign w:val="bottom"/>
          </w:tcPr>
          <w:p w14:paraId="78AE999C" w14:textId="77777777" w:rsidR="00EF26BC" w:rsidRDefault="00343DF1">
            <w:pPr>
              <w:jc w:val="center"/>
              <w:rPr>
                <w:sz w:val="20"/>
                <w:szCs w:val="20"/>
              </w:rPr>
            </w:pPr>
            <w:r>
              <w:rPr>
                <w:rFonts w:eastAsia="Times New Roman"/>
                <w:w w:val="99"/>
                <w:sz w:val="20"/>
                <w:szCs w:val="20"/>
              </w:rPr>
              <w:t>2</w:t>
            </w:r>
          </w:p>
        </w:tc>
        <w:tc>
          <w:tcPr>
            <w:tcW w:w="0" w:type="dxa"/>
            <w:vAlign w:val="bottom"/>
          </w:tcPr>
          <w:p w14:paraId="78AE999D" w14:textId="77777777" w:rsidR="00EF26BC" w:rsidRDefault="00EF26BC">
            <w:pPr>
              <w:rPr>
                <w:sz w:val="1"/>
                <w:szCs w:val="1"/>
              </w:rPr>
            </w:pPr>
          </w:p>
        </w:tc>
      </w:tr>
      <w:tr w:rsidR="00EF26BC" w14:paraId="78AE99A5" w14:textId="77777777">
        <w:trPr>
          <w:trHeight w:val="78"/>
        </w:trPr>
        <w:tc>
          <w:tcPr>
            <w:tcW w:w="1560" w:type="dxa"/>
            <w:tcBorders>
              <w:left w:val="single" w:sz="8" w:space="0" w:color="auto"/>
              <w:bottom w:val="single" w:sz="8" w:space="0" w:color="auto"/>
              <w:right w:val="single" w:sz="8" w:space="0" w:color="auto"/>
            </w:tcBorders>
            <w:vAlign w:val="bottom"/>
          </w:tcPr>
          <w:p w14:paraId="78AE999F"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A0"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A1"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A2"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A3" w14:textId="77777777" w:rsidR="00EF26BC" w:rsidRDefault="00EF26BC">
            <w:pPr>
              <w:rPr>
                <w:sz w:val="6"/>
                <w:szCs w:val="6"/>
              </w:rPr>
            </w:pPr>
          </w:p>
        </w:tc>
        <w:tc>
          <w:tcPr>
            <w:tcW w:w="0" w:type="dxa"/>
            <w:vAlign w:val="bottom"/>
          </w:tcPr>
          <w:p w14:paraId="78AE99A4" w14:textId="77777777" w:rsidR="00EF26BC" w:rsidRDefault="00EF26BC">
            <w:pPr>
              <w:rPr>
                <w:sz w:val="1"/>
                <w:szCs w:val="1"/>
              </w:rPr>
            </w:pPr>
          </w:p>
        </w:tc>
      </w:tr>
      <w:tr w:rsidR="00EF26BC" w14:paraId="78AE99AC" w14:textId="77777777">
        <w:trPr>
          <w:trHeight w:val="344"/>
        </w:trPr>
        <w:tc>
          <w:tcPr>
            <w:tcW w:w="1560" w:type="dxa"/>
            <w:tcBorders>
              <w:left w:val="single" w:sz="8" w:space="0" w:color="auto"/>
              <w:right w:val="single" w:sz="8" w:space="0" w:color="auto"/>
            </w:tcBorders>
            <w:vAlign w:val="bottom"/>
          </w:tcPr>
          <w:p w14:paraId="78AE99A6" w14:textId="77777777" w:rsidR="00EF26BC" w:rsidRDefault="00343DF1">
            <w:pPr>
              <w:jc w:val="center"/>
              <w:rPr>
                <w:sz w:val="20"/>
                <w:szCs w:val="20"/>
              </w:rPr>
            </w:pPr>
            <w:r>
              <w:rPr>
                <w:rFonts w:eastAsia="Times New Roman"/>
                <w:b/>
                <w:bCs/>
                <w:w w:val="99"/>
                <w:sz w:val="20"/>
                <w:szCs w:val="20"/>
              </w:rPr>
              <w:t>2010</w:t>
            </w:r>
          </w:p>
        </w:tc>
        <w:tc>
          <w:tcPr>
            <w:tcW w:w="1540" w:type="dxa"/>
            <w:tcBorders>
              <w:right w:val="single" w:sz="8" w:space="0" w:color="auto"/>
            </w:tcBorders>
            <w:vAlign w:val="bottom"/>
          </w:tcPr>
          <w:p w14:paraId="78AE99A7" w14:textId="77777777" w:rsidR="00EF26BC" w:rsidRDefault="00343DF1">
            <w:pPr>
              <w:jc w:val="center"/>
              <w:rPr>
                <w:sz w:val="20"/>
                <w:szCs w:val="20"/>
              </w:rPr>
            </w:pPr>
            <w:r>
              <w:rPr>
                <w:rFonts w:eastAsia="Times New Roman"/>
                <w:w w:val="99"/>
                <w:sz w:val="20"/>
                <w:szCs w:val="20"/>
              </w:rPr>
              <w:t>4</w:t>
            </w:r>
          </w:p>
        </w:tc>
        <w:tc>
          <w:tcPr>
            <w:tcW w:w="1540" w:type="dxa"/>
            <w:tcBorders>
              <w:right w:val="single" w:sz="8" w:space="0" w:color="auto"/>
            </w:tcBorders>
            <w:vAlign w:val="bottom"/>
          </w:tcPr>
          <w:p w14:paraId="78AE99A8" w14:textId="77777777" w:rsidR="00EF26BC" w:rsidRDefault="00343DF1">
            <w:pPr>
              <w:jc w:val="center"/>
              <w:rPr>
                <w:sz w:val="20"/>
                <w:szCs w:val="20"/>
              </w:rPr>
            </w:pPr>
            <w:r>
              <w:rPr>
                <w:rFonts w:eastAsia="Times New Roman"/>
                <w:w w:val="99"/>
                <w:sz w:val="20"/>
                <w:szCs w:val="20"/>
              </w:rPr>
              <w:t>0</w:t>
            </w:r>
          </w:p>
        </w:tc>
        <w:tc>
          <w:tcPr>
            <w:tcW w:w="1520" w:type="dxa"/>
            <w:tcBorders>
              <w:right w:val="single" w:sz="8" w:space="0" w:color="auto"/>
            </w:tcBorders>
            <w:vAlign w:val="bottom"/>
          </w:tcPr>
          <w:p w14:paraId="78AE99A9" w14:textId="77777777" w:rsidR="00EF26BC" w:rsidRDefault="00343DF1">
            <w:pPr>
              <w:jc w:val="center"/>
              <w:rPr>
                <w:sz w:val="20"/>
                <w:szCs w:val="20"/>
              </w:rPr>
            </w:pPr>
            <w:r>
              <w:rPr>
                <w:rFonts w:eastAsia="Times New Roman"/>
                <w:w w:val="99"/>
                <w:sz w:val="20"/>
                <w:szCs w:val="20"/>
              </w:rPr>
              <w:t>4</w:t>
            </w:r>
          </w:p>
        </w:tc>
        <w:tc>
          <w:tcPr>
            <w:tcW w:w="1560" w:type="dxa"/>
            <w:tcBorders>
              <w:right w:val="single" w:sz="8" w:space="0" w:color="auto"/>
            </w:tcBorders>
            <w:vAlign w:val="bottom"/>
          </w:tcPr>
          <w:p w14:paraId="78AE99AA" w14:textId="77777777" w:rsidR="00EF26BC" w:rsidRDefault="00343DF1">
            <w:pPr>
              <w:jc w:val="center"/>
              <w:rPr>
                <w:sz w:val="20"/>
                <w:szCs w:val="20"/>
              </w:rPr>
            </w:pPr>
            <w:r>
              <w:rPr>
                <w:rFonts w:eastAsia="Times New Roman"/>
                <w:w w:val="99"/>
                <w:sz w:val="20"/>
                <w:szCs w:val="20"/>
              </w:rPr>
              <w:t>2</w:t>
            </w:r>
          </w:p>
        </w:tc>
        <w:tc>
          <w:tcPr>
            <w:tcW w:w="0" w:type="dxa"/>
            <w:vAlign w:val="bottom"/>
          </w:tcPr>
          <w:p w14:paraId="78AE99AB" w14:textId="77777777" w:rsidR="00EF26BC" w:rsidRDefault="00EF26BC">
            <w:pPr>
              <w:rPr>
                <w:sz w:val="1"/>
                <w:szCs w:val="1"/>
              </w:rPr>
            </w:pPr>
          </w:p>
        </w:tc>
      </w:tr>
      <w:tr w:rsidR="00EF26BC" w14:paraId="78AE99B3" w14:textId="77777777">
        <w:trPr>
          <w:trHeight w:val="78"/>
        </w:trPr>
        <w:tc>
          <w:tcPr>
            <w:tcW w:w="1560" w:type="dxa"/>
            <w:tcBorders>
              <w:left w:val="single" w:sz="8" w:space="0" w:color="auto"/>
              <w:bottom w:val="single" w:sz="8" w:space="0" w:color="auto"/>
              <w:right w:val="single" w:sz="8" w:space="0" w:color="auto"/>
            </w:tcBorders>
            <w:vAlign w:val="bottom"/>
          </w:tcPr>
          <w:p w14:paraId="78AE99AD"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AE"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AF"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B0"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B1" w14:textId="77777777" w:rsidR="00EF26BC" w:rsidRDefault="00EF26BC">
            <w:pPr>
              <w:rPr>
                <w:sz w:val="6"/>
                <w:szCs w:val="6"/>
              </w:rPr>
            </w:pPr>
          </w:p>
        </w:tc>
        <w:tc>
          <w:tcPr>
            <w:tcW w:w="0" w:type="dxa"/>
            <w:vAlign w:val="bottom"/>
          </w:tcPr>
          <w:p w14:paraId="78AE99B2" w14:textId="77777777" w:rsidR="00EF26BC" w:rsidRDefault="00EF26BC">
            <w:pPr>
              <w:rPr>
                <w:sz w:val="1"/>
                <w:szCs w:val="1"/>
              </w:rPr>
            </w:pPr>
          </w:p>
        </w:tc>
      </w:tr>
      <w:tr w:rsidR="00EF26BC" w14:paraId="78AE99BA" w14:textId="77777777">
        <w:trPr>
          <w:trHeight w:val="344"/>
        </w:trPr>
        <w:tc>
          <w:tcPr>
            <w:tcW w:w="1560" w:type="dxa"/>
            <w:tcBorders>
              <w:left w:val="single" w:sz="8" w:space="0" w:color="auto"/>
              <w:right w:val="single" w:sz="8" w:space="0" w:color="auto"/>
            </w:tcBorders>
            <w:vAlign w:val="bottom"/>
          </w:tcPr>
          <w:p w14:paraId="78AE99B4" w14:textId="77777777" w:rsidR="00EF26BC" w:rsidRDefault="00343DF1">
            <w:pPr>
              <w:jc w:val="center"/>
              <w:rPr>
                <w:sz w:val="20"/>
                <w:szCs w:val="20"/>
              </w:rPr>
            </w:pPr>
            <w:r>
              <w:rPr>
                <w:rFonts w:eastAsia="Times New Roman"/>
                <w:b/>
                <w:bCs/>
                <w:w w:val="99"/>
                <w:sz w:val="20"/>
                <w:szCs w:val="20"/>
              </w:rPr>
              <w:t>2011</w:t>
            </w:r>
          </w:p>
        </w:tc>
        <w:tc>
          <w:tcPr>
            <w:tcW w:w="1540" w:type="dxa"/>
            <w:tcBorders>
              <w:right w:val="single" w:sz="8" w:space="0" w:color="auto"/>
            </w:tcBorders>
            <w:vAlign w:val="bottom"/>
          </w:tcPr>
          <w:p w14:paraId="78AE99B5" w14:textId="77777777" w:rsidR="00EF26BC" w:rsidRDefault="00343DF1">
            <w:pPr>
              <w:jc w:val="center"/>
              <w:rPr>
                <w:sz w:val="20"/>
                <w:szCs w:val="20"/>
              </w:rPr>
            </w:pPr>
            <w:r>
              <w:rPr>
                <w:rFonts w:eastAsia="Times New Roman"/>
                <w:w w:val="99"/>
                <w:sz w:val="20"/>
                <w:szCs w:val="20"/>
              </w:rPr>
              <w:t>8</w:t>
            </w:r>
          </w:p>
        </w:tc>
        <w:tc>
          <w:tcPr>
            <w:tcW w:w="1540" w:type="dxa"/>
            <w:tcBorders>
              <w:right w:val="single" w:sz="8" w:space="0" w:color="auto"/>
            </w:tcBorders>
            <w:vAlign w:val="bottom"/>
          </w:tcPr>
          <w:p w14:paraId="78AE99B6" w14:textId="77777777" w:rsidR="00EF26BC" w:rsidRDefault="00343DF1">
            <w:pPr>
              <w:jc w:val="center"/>
              <w:rPr>
                <w:sz w:val="20"/>
                <w:szCs w:val="20"/>
              </w:rPr>
            </w:pPr>
            <w:r>
              <w:rPr>
                <w:rFonts w:eastAsia="Times New Roman"/>
                <w:w w:val="99"/>
                <w:sz w:val="20"/>
                <w:szCs w:val="20"/>
              </w:rPr>
              <w:t>3</w:t>
            </w:r>
          </w:p>
        </w:tc>
        <w:tc>
          <w:tcPr>
            <w:tcW w:w="1520" w:type="dxa"/>
            <w:tcBorders>
              <w:right w:val="single" w:sz="8" w:space="0" w:color="auto"/>
            </w:tcBorders>
            <w:vAlign w:val="bottom"/>
          </w:tcPr>
          <w:p w14:paraId="78AE99B7" w14:textId="77777777" w:rsidR="00EF26BC" w:rsidRDefault="00343DF1">
            <w:pPr>
              <w:jc w:val="center"/>
              <w:rPr>
                <w:sz w:val="20"/>
                <w:szCs w:val="20"/>
              </w:rPr>
            </w:pPr>
            <w:r>
              <w:rPr>
                <w:rFonts w:eastAsia="Times New Roman"/>
                <w:w w:val="99"/>
                <w:sz w:val="20"/>
                <w:szCs w:val="20"/>
              </w:rPr>
              <w:t>1</w:t>
            </w:r>
          </w:p>
        </w:tc>
        <w:tc>
          <w:tcPr>
            <w:tcW w:w="1560" w:type="dxa"/>
            <w:tcBorders>
              <w:right w:val="single" w:sz="8" w:space="0" w:color="auto"/>
            </w:tcBorders>
            <w:vAlign w:val="bottom"/>
          </w:tcPr>
          <w:p w14:paraId="78AE99B8" w14:textId="77777777" w:rsidR="00EF26BC" w:rsidRDefault="00343DF1">
            <w:pPr>
              <w:jc w:val="center"/>
              <w:rPr>
                <w:sz w:val="20"/>
                <w:szCs w:val="20"/>
              </w:rPr>
            </w:pPr>
            <w:r>
              <w:rPr>
                <w:rFonts w:eastAsia="Times New Roman"/>
                <w:w w:val="99"/>
                <w:sz w:val="20"/>
                <w:szCs w:val="20"/>
              </w:rPr>
              <w:t>0</w:t>
            </w:r>
          </w:p>
        </w:tc>
        <w:tc>
          <w:tcPr>
            <w:tcW w:w="0" w:type="dxa"/>
            <w:vAlign w:val="bottom"/>
          </w:tcPr>
          <w:p w14:paraId="78AE99B9" w14:textId="77777777" w:rsidR="00EF26BC" w:rsidRDefault="00EF26BC">
            <w:pPr>
              <w:rPr>
                <w:sz w:val="1"/>
                <w:szCs w:val="1"/>
              </w:rPr>
            </w:pPr>
          </w:p>
        </w:tc>
      </w:tr>
      <w:tr w:rsidR="00EF26BC" w14:paraId="78AE99C1" w14:textId="77777777">
        <w:trPr>
          <w:trHeight w:val="73"/>
        </w:trPr>
        <w:tc>
          <w:tcPr>
            <w:tcW w:w="1560" w:type="dxa"/>
            <w:tcBorders>
              <w:left w:val="single" w:sz="8" w:space="0" w:color="auto"/>
              <w:bottom w:val="single" w:sz="8" w:space="0" w:color="auto"/>
              <w:right w:val="single" w:sz="8" w:space="0" w:color="auto"/>
            </w:tcBorders>
            <w:vAlign w:val="bottom"/>
          </w:tcPr>
          <w:p w14:paraId="78AE99BB"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BC"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BD"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BE"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BF" w14:textId="77777777" w:rsidR="00EF26BC" w:rsidRDefault="00EF26BC">
            <w:pPr>
              <w:rPr>
                <w:sz w:val="6"/>
                <w:szCs w:val="6"/>
              </w:rPr>
            </w:pPr>
          </w:p>
        </w:tc>
        <w:tc>
          <w:tcPr>
            <w:tcW w:w="0" w:type="dxa"/>
            <w:vAlign w:val="bottom"/>
          </w:tcPr>
          <w:p w14:paraId="78AE99C0" w14:textId="77777777" w:rsidR="00EF26BC" w:rsidRDefault="00EF26BC">
            <w:pPr>
              <w:rPr>
                <w:sz w:val="1"/>
                <w:szCs w:val="1"/>
              </w:rPr>
            </w:pPr>
          </w:p>
        </w:tc>
      </w:tr>
      <w:tr w:rsidR="00EF26BC" w14:paraId="78AE99C8" w14:textId="77777777">
        <w:trPr>
          <w:trHeight w:val="344"/>
        </w:trPr>
        <w:tc>
          <w:tcPr>
            <w:tcW w:w="1560" w:type="dxa"/>
            <w:tcBorders>
              <w:left w:val="single" w:sz="8" w:space="0" w:color="auto"/>
              <w:right w:val="single" w:sz="8" w:space="0" w:color="auto"/>
            </w:tcBorders>
            <w:vAlign w:val="bottom"/>
          </w:tcPr>
          <w:p w14:paraId="78AE99C2" w14:textId="77777777" w:rsidR="00EF26BC" w:rsidRDefault="00343DF1">
            <w:pPr>
              <w:jc w:val="center"/>
              <w:rPr>
                <w:sz w:val="20"/>
                <w:szCs w:val="20"/>
              </w:rPr>
            </w:pPr>
            <w:r>
              <w:rPr>
                <w:rFonts w:eastAsia="Times New Roman"/>
                <w:b/>
                <w:bCs/>
                <w:w w:val="99"/>
                <w:sz w:val="20"/>
                <w:szCs w:val="20"/>
              </w:rPr>
              <w:t>2012</w:t>
            </w:r>
          </w:p>
        </w:tc>
        <w:tc>
          <w:tcPr>
            <w:tcW w:w="1540" w:type="dxa"/>
            <w:tcBorders>
              <w:right w:val="single" w:sz="8" w:space="0" w:color="auto"/>
            </w:tcBorders>
            <w:vAlign w:val="bottom"/>
          </w:tcPr>
          <w:p w14:paraId="78AE99C3" w14:textId="77777777" w:rsidR="00EF26BC" w:rsidRDefault="00343DF1">
            <w:pPr>
              <w:jc w:val="center"/>
              <w:rPr>
                <w:sz w:val="20"/>
                <w:szCs w:val="20"/>
              </w:rPr>
            </w:pPr>
            <w:r>
              <w:rPr>
                <w:rFonts w:eastAsia="Times New Roman"/>
                <w:w w:val="99"/>
                <w:sz w:val="20"/>
                <w:szCs w:val="20"/>
              </w:rPr>
              <w:t>2</w:t>
            </w:r>
          </w:p>
        </w:tc>
        <w:tc>
          <w:tcPr>
            <w:tcW w:w="1540" w:type="dxa"/>
            <w:tcBorders>
              <w:right w:val="single" w:sz="8" w:space="0" w:color="auto"/>
            </w:tcBorders>
            <w:vAlign w:val="bottom"/>
          </w:tcPr>
          <w:p w14:paraId="78AE99C4" w14:textId="77777777" w:rsidR="00EF26BC" w:rsidRDefault="00343DF1">
            <w:pPr>
              <w:jc w:val="center"/>
              <w:rPr>
                <w:sz w:val="20"/>
                <w:szCs w:val="20"/>
              </w:rPr>
            </w:pPr>
            <w:r>
              <w:rPr>
                <w:rFonts w:eastAsia="Times New Roman"/>
                <w:w w:val="99"/>
                <w:sz w:val="20"/>
                <w:szCs w:val="20"/>
              </w:rPr>
              <w:t>1</w:t>
            </w:r>
          </w:p>
        </w:tc>
        <w:tc>
          <w:tcPr>
            <w:tcW w:w="1520" w:type="dxa"/>
            <w:tcBorders>
              <w:right w:val="single" w:sz="8" w:space="0" w:color="auto"/>
            </w:tcBorders>
            <w:vAlign w:val="bottom"/>
          </w:tcPr>
          <w:p w14:paraId="78AE99C5" w14:textId="77777777" w:rsidR="00EF26BC" w:rsidRDefault="00343DF1">
            <w:pPr>
              <w:jc w:val="center"/>
              <w:rPr>
                <w:sz w:val="20"/>
                <w:szCs w:val="20"/>
              </w:rPr>
            </w:pPr>
            <w:r>
              <w:rPr>
                <w:rFonts w:eastAsia="Times New Roman"/>
                <w:w w:val="99"/>
                <w:sz w:val="20"/>
                <w:szCs w:val="20"/>
              </w:rPr>
              <w:t>0</w:t>
            </w:r>
          </w:p>
        </w:tc>
        <w:tc>
          <w:tcPr>
            <w:tcW w:w="1560" w:type="dxa"/>
            <w:tcBorders>
              <w:right w:val="single" w:sz="8" w:space="0" w:color="auto"/>
            </w:tcBorders>
            <w:vAlign w:val="bottom"/>
          </w:tcPr>
          <w:p w14:paraId="78AE99C6" w14:textId="77777777" w:rsidR="00EF26BC" w:rsidRDefault="00343DF1">
            <w:pPr>
              <w:jc w:val="center"/>
              <w:rPr>
                <w:sz w:val="20"/>
                <w:szCs w:val="20"/>
              </w:rPr>
            </w:pPr>
            <w:r>
              <w:rPr>
                <w:rFonts w:eastAsia="Times New Roman"/>
                <w:w w:val="99"/>
                <w:sz w:val="20"/>
                <w:szCs w:val="20"/>
              </w:rPr>
              <w:t>2</w:t>
            </w:r>
          </w:p>
        </w:tc>
        <w:tc>
          <w:tcPr>
            <w:tcW w:w="0" w:type="dxa"/>
            <w:vAlign w:val="bottom"/>
          </w:tcPr>
          <w:p w14:paraId="78AE99C7" w14:textId="77777777" w:rsidR="00EF26BC" w:rsidRDefault="00EF26BC">
            <w:pPr>
              <w:rPr>
                <w:sz w:val="1"/>
                <w:szCs w:val="1"/>
              </w:rPr>
            </w:pPr>
          </w:p>
        </w:tc>
      </w:tr>
      <w:tr w:rsidR="00EF26BC" w14:paraId="78AE99CF" w14:textId="77777777">
        <w:trPr>
          <w:trHeight w:val="78"/>
        </w:trPr>
        <w:tc>
          <w:tcPr>
            <w:tcW w:w="1560" w:type="dxa"/>
            <w:tcBorders>
              <w:left w:val="single" w:sz="8" w:space="0" w:color="auto"/>
              <w:bottom w:val="single" w:sz="8" w:space="0" w:color="auto"/>
              <w:right w:val="single" w:sz="8" w:space="0" w:color="auto"/>
            </w:tcBorders>
            <w:vAlign w:val="bottom"/>
          </w:tcPr>
          <w:p w14:paraId="78AE99C9"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CA"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CB"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CC"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CD" w14:textId="77777777" w:rsidR="00EF26BC" w:rsidRDefault="00EF26BC">
            <w:pPr>
              <w:rPr>
                <w:sz w:val="6"/>
                <w:szCs w:val="6"/>
              </w:rPr>
            </w:pPr>
          </w:p>
        </w:tc>
        <w:tc>
          <w:tcPr>
            <w:tcW w:w="0" w:type="dxa"/>
            <w:vAlign w:val="bottom"/>
          </w:tcPr>
          <w:p w14:paraId="78AE99CE" w14:textId="77777777" w:rsidR="00EF26BC" w:rsidRDefault="00EF26BC">
            <w:pPr>
              <w:rPr>
                <w:sz w:val="1"/>
                <w:szCs w:val="1"/>
              </w:rPr>
            </w:pPr>
          </w:p>
        </w:tc>
      </w:tr>
      <w:tr w:rsidR="00EF26BC" w14:paraId="78AE99D6" w14:textId="77777777">
        <w:trPr>
          <w:trHeight w:val="344"/>
        </w:trPr>
        <w:tc>
          <w:tcPr>
            <w:tcW w:w="1560" w:type="dxa"/>
            <w:tcBorders>
              <w:left w:val="single" w:sz="8" w:space="0" w:color="auto"/>
              <w:right w:val="single" w:sz="8" w:space="0" w:color="auto"/>
            </w:tcBorders>
            <w:vAlign w:val="bottom"/>
          </w:tcPr>
          <w:p w14:paraId="78AE99D0" w14:textId="77777777" w:rsidR="00EF26BC" w:rsidRDefault="00343DF1">
            <w:pPr>
              <w:jc w:val="center"/>
              <w:rPr>
                <w:sz w:val="20"/>
                <w:szCs w:val="20"/>
              </w:rPr>
            </w:pPr>
            <w:r>
              <w:rPr>
                <w:rFonts w:eastAsia="Times New Roman"/>
                <w:b/>
                <w:bCs/>
                <w:w w:val="99"/>
                <w:sz w:val="20"/>
                <w:szCs w:val="20"/>
              </w:rPr>
              <w:t>2013</w:t>
            </w:r>
          </w:p>
        </w:tc>
        <w:tc>
          <w:tcPr>
            <w:tcW w:w="1540" w:type="dxa"/>
            <w:tcBorders>
              <w:right w:val="single" w:sz="8" w:space="0" w:color="auto"/>
            </w:tcBorders>
            <w:vAlign w:val="bottom"/>
          </w:tcPr>
          <w:p w14:paraId="78AE99D1" w14:textId="77777777" w:rsidR="00EF26BC" w:rsidRDefault="00343DF1">
            <w:pPr>
              <w:jc w:val="center"/>
              <w:rPr>
                <w:sz w:val="20"/>
                <w:szCs w:val="20"/>
              </w:rPr>
            </w:pPr>
            <w:r>
              <w:rPr>
                <w:rFonts w:eastAsia="Times New Roman"/>
                <w:w w:val="99"/>
                <w:sz w:val="20"/>
                <w:szCs w:val="20"/>
              </w:rPr>
              <w:t>4</w:t>
            </w:r>
          </w:p>
        </w:tc>
        <w:tc>
          <w:tcPr>
            <w:tcW w:w="1540" w:type="dxa"/>
            <w:tcBorders>
              <w:right w:val="single" w:sz="8" w:space="0" w:color="auto"/>
            </w:tcBorders>
            <w:vAlign w:val="bottom"/>
          </w:tcPr>
          <w:p w14:paraId="78AE99D2" w14:textId="77777777" w:rsidR="00EF26BC" w:rsidRDefault="00343DF1">
            <w:pPr>
              <w:jc w:val="center"/>
              <w:rPr>
                <w:sz w:val="20"/>
                <w:szCs w:val="20"/>
              </w:rPr>
            </w:pPr>
            <w:r>
              <w:rPr>
                <w:rFonts w:eastAsia="Times New Roman"/>
                <w:w w:val="99"/>
                <w:sz w:val="20"/>
                <w:szCs w:val="20"/>
              </w:rPr>
              <w:t>1</w:t>
            </w:r>
          </w:p>
        </w:tc>
        <w:tc>
          <w:tcPr>
            <w:tcW w:w="1520" w:type="dxa"/>
            <w:tcBorders>
              <w:right w:val="single" w:sz="8" w:space="0" w:color="auto"/>
            </w:tcBorders>
            <w:vAlign w:val="bottom"/>
          </w:tcPr>
          <w:p w14:paraId="78AE99D3" w14:textId="77777777" w:rsidR="00EF26BC" w:rsidRDefault="00343DF1">
            <w:pPr>
              <w:jc w:val="center"/>
              <w:rPr>
                <w:sz w:val="20"/>
                <w:szCs w:val="20"/>
              </w:rPr>
            </w:pPr>
            <w:r>
              <w:rPr>
                <w:rFonts w:eastAsia="Times New Roman"/>
                <w:w w:val="99"/>
                <w:sz w:val="20"/>
                <w:szCs w:val="20"/>
              </w:rPr>
              <w:t>2</w:t>
            </w:r>
          </w:p>
        </w:tc>
        <w:tc>
          <w:tcPr>
            <w:tcW w:w="1560" w:type="dxa"/>
            <w:tcBorders>
              <w:right w:val="single" w:sz="8" w:space="0" w:color="auto"/>
            </w:tcBorders>
            <w:vAlign w:val="bottom"/>
          </w:tcPr>
          <w:p w14:paraId="78AE99D4" w14:textId="77777777" w:rsidR="00EF26BC" w:rsidRDefault="00343DF1">
            <w:pPr>
              <w:jc w:val="center"/>
              <w:rPr>
                <w:sz w:val="20"/>
                <w:szCs w:val="20"/>
              </w:rPr>
            </w:pPr>
            <w:r>
              <w:rPr>
                <w:rFonts w:eastAsia="Times New Roman"/>
                <w:w w:val="99"/>
                <w:sz w:val="20"/>
                <w:szCs w:val="20"/>
              </w:rPr>
              <w:t>0</w:t>
            </w:r>
          </w:p>
        </w:tc>
        <w:tc>
          <w:tcPr>
            <w:tcW w:w="0" w:type="dxa"/>
            <w:vAlign w:val="bottom"/>
          </w:tcPr>
          <w:p w14:paraId="78AE99D5" w14:textId="77777777" w:rsidR="00EF26BC" w:rsidRDefault="00EF26BC">
            <w:pPr>
              <w:rPr>
                <w:sz w:val="1"/>
                <w:szCs w:val="1"/>
              </w:rPr>
            </w:pPr>
          </w:p>
        </w:tc>
      </w:tr>
      <w:tr w:rsidR="00EF26BC" w14:paraId="78AE99DD" w14:textId="77777777">
        <w:trPr>
          <w:trHeight w:val="78"/>
        </w:trPr>
        <w:tc>
          <w:tcPr>
            <w:tcW w:w="1560" w:type="dxa"/>
            <w:tcBorders>
              <w:left w:val="single" w:sz="8" w:space="0" w:color="auto"/>
              <w:bottom w:val="single" w:sz="8" w:space="0" w:color="auto"/>
              <w:right w:val="single" w:sz="8" w:space="0" w:color="auto"/>
            </w:tcBorders>
            <w:vAlign w:val="bottom"/>
          </w:tcPr>
          <w:p w14:paraId="78AE99D7"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D8"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D9"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DA"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DB" w14:textId="77777777" w:rsidR="00EF26BC" w:rsidRDefault="00EF26BC">
            <w:pPr>
              <w:rPr>
                <w:sz w:val="6"/>
                <w:szCs w:val="6"/>
              </w:rPr>
            </w:pPr>
          </w:p>
        </w:tc>
        <w:tc>
          <w:tcPr>
            <w:tcW w:w="0" w:type="dxa"/>
            <w:vAlign w:val="bottom"/>
          </w:tcPr>
          <w:p w14:paraId="78AE99DC" w14:textId="77777777" w:rsidR="00EF26BC" w:rsidRDefault="00EF26BC">
            <w:pPr>
              <w:rPr>
                <w:sz w:val="1"/>
                <w:szCs w:val="1"/>
              </w:rPr>
            </w:pPr>
          </w:p>
        </w:tc>
      </w:tr>
      <w:tr w:rsidR="00EF26BC" w14:paraId="78AE99E4" w14:textId="77777777">
        <w:trPr>
          <w:trHeight w:val="344"/>
        </w:trPr>
        <w:tc>
          <w:tcPr>
            <w:tcW w:w="1560" w:type="dxa"/>
            <w:tcBorders>
              <w:left w:val="single" w:sz="8" w:space="0" w:color="auto"/>
              <w:right w:val="single" w:sz="8" w:space="0" w:color="auto"/>
            </w:tcBorders>
            <w:vAlign w:val="bottom"/>
          </w:tcPr>
          <w:p w14:paraId="78AE99DE" w14:textId="77777777" w:rsidR="00EF26BC" w:rsidRDefault="00343DF1">
            <w:pPr>
              <w:jc w:val="center"/>
              <w:rPr>
                <w:sz w:val="20"/>
                <w:szCs w:val="20"/>
              </w:rPr>
            </w:pPr>
            <w:r>
              <w:rPr>
                <w:rFonts w:eastAsia="Times New Roman"/>
                <w:b/>
                <w:bCs/>
                <w:w w:val="99"/>
                <w:sz w:val="20"/>
                <w:szCs w:val="20"/>
              </w:rPr>
              <w:t>2014</w:t>
            </w:r>
          </w:p>
        </w:tc>
        <w:tc>
          <w:tcPr>
            <w:tcW w:w="1540" w:type="dxa"/>
            <w:tcBorders>
              <w:right w:val="single" w:sz="8" w:space="0" w:color="auto"/>
            </w:tcBorders>
            <w:vAlign w:val="bottom"/>
          </w:tcPr>
          <w:p w14:paraId="78AE99DF" w14:textId="77777777" w:rsidR="00EF26BC" w:rsidRDefault="00343DF1">
            <w:pPr>
              <w:jc w:val="center"/>
              <w:rPr>
                <w:sz w:val="20"/>
                <w:szCs w:val="20"/>
              </w:rPr>
            </w:pPr>
            <w:r>
              <w:rPr>
                <w:rFonts w:eastAsia="Times New Roman"/>
                <w:w w:val="99"/>
                <w:sz w:val="20"/>
                <w:szCs w:val="20"/>
              </w:rPr>
              <w:t>2</w:t>
            </w:r>
          </w:p>
        </w:tc>
        <w:tc>
          <w:tcPr>
            <w:tcW w:w="1540" w:type="dxa"/>
            <w:tcBorders>
              <w:right w:val="single" w:sz="8" w:space="0" w:color="auto"/>
            </w:tcBorders>
            <w:vAlign w:val="bottom"/>
          </w:tcPr>
          <w:p w14:paraId="78AE99E0" w14:textId="77777777" w:rsidR="00EF26BC" w:rsidRDefault="00343DF1">
            <w:pPr>
              <w:jc w:val="center"/>
              <w:rPr>
                <w:sz w:val="20"/>
                <w:szCs w:val="20"/>
              </w:rPr>
            </w:pPr>
            <w:r>
              <w:rPr>
                <w:rFonts w:eastAsia="Times New Roman"/>
                <w:w w:val="99"/>
                <w:sz w:val="20"/>
                <w:szCs w:val="20"/>
              </w:rPr>
              <w:t>3</w:t>
            </w:r>
          </w:p>
        </w:tc>
        <w:tc>
          <w:tcPr>
            <w:tcW w:w="1520" w:type="dxa"/>
            <w:tcBorders>
              <w:right w:val="single" w:sz="8" w:space="0" w:color="auto"/>
            </w:tcBorders>
            <w:vAlign w:val="bottom"/>
          </w:tcPr>
          <w:p w14:paraId="78AE99E1" w14:textId="77777777" w:rsidR="00EF26BC" w:rsidRDefault="00343DF1">
            <w:pPr>
              <w:jc w:val="center"/>
              <w:rPr>
                <w:sz w:val="20"/>
                <w:szCs w:val="20"/>
              </w:rPr>
            </w:pPr>
            <w:r>
              <w:rPr>
                <w:rFonts w:eastAsia="Times New Roman"/>
                <w:w w:val="99"/>
                <w:sz w:val="20"/>
                <w:szCs w:val="20"/>
              </w:rPr>
              <w:t>0</w:t>
            </w:r>
          </w:p>
        </w:tc>
        <w:tc>
          <w:tcPr>
            <w:tcW w:w="1560" w:type="dxa"/>
            <w:tcBorders>
              <w:right w:val="single" w:sz="8" w:space="0" w:color="auto"/>
            </w:tcBorders>
            <w:vAlign w:val="bottom"/>
          </w:tcPr>
          <w:p w14:paraId="78AE99E2" w14:textId="77777777" w:rsidR="00EF26BC" w:rsidRDefault="00343DF1">
            <w:pPr>
              <w:jc w:val="center"/>
              <w:rPr>
                <w:sz w:val="20"/>
                <w:szCs w:val="20"/>
              </w:rPr>
            </w:pPr>
            <w:r>
              <w:rPr>
                <w:rFonts w:eastAsia="Times New Roman"/>
                <w:w w:val="99"/>
                <w:sz w:val="20"/>
                <w:szCs w:val="20"/>
              </w:rPr>
              <w:t>1</w:t>
            </w:r>
          </w:p>
        </w:tc>
        <w:tc>
          <w:tcPr>
            <w:tcW w:w="0" w:type="dxa"/>
            <w:vAlign w:val="bottom"/>
          </w:tcPr>
          <w:p w14:paraId="78AE99E3" w14:textId="77777777" w:rsidR="00EF26BC" w:rsidRDefault="00EF26BC">
            <w:pPr>
              <w:rPr>
                <w:sz w:val="1"/>
                <w:szCs w:val="1"/>
              </w:rPr>
            </w:pPr>
          </w:p>
        </w:tc>
      </w:tr>
      <w:tr w:rsidR="00EF26BC" w14:paraId="78AE99EB" w14:textId="77777777">
        <w:trPr>
          <w:trHeight w:val="73"/>
        </w:trPr>
        <w:tc>
          <w:tcPr>
            <w:tcW w:w="1560" w:type="dxa"/>
            <w:tcBorders>
              <w:left w:val="single" w:sz="8" w:space="0" w:color="auto"/>
              <w:bottom w:val="single" w:sz="8" w:space="0" w:color="auto"/>
              <w:right w:val="single" w:sz="8" w:space="0" w:color="auto"/>
            </w:tcBorders>
            <w:vAlign w:val="bottom"/>
          </w:tcPr>
          <w:p w14:paraId="78AE99E5"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E6"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E7"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E8"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E9" w14:textId="77777777" w:rsidR="00EF26BC" w:rsidRDefault="00EF26BC">
            <w:pPr>
              <w:rPr>
                <w:sz w:val="6"/>
                <w:szCs w:val="6"/>
              </w:rPr>
            </w:pPr>
          </w:p>
        </w:tc>
        <w:tc>
          <w:tcPr>
            <w:tcW w:w="0" w:type="dxa"/>
            <w:vAlign w:val="bottom"/>
          </w:tcPr>
          <w:p w14:paraId="78AE99EA" w14:textId="77777777" w:rsidR="00EF26BC" w:rsidRDefault="00EF26BC">
            <w:pPr>
              <w:rPr>
                <w:sz w:val="1"/>
                <w:szCs w:val="1"/>
              </w:rPr>
            </w:pPr>
          </w:p>
        </w:tc>
      </w:tr>
      <w:tr w:rsidR="00EF26BC" w14:paraId="78AE99F2" w14:textId="77777777">
        <w:trPr>
          <w:trHeight w:val="344"/>
        </w:trPr>
        <w:tc>
          <w:tcPr>
            <w:tcW w:w="1560" w:type="dxa"/>
            <w:tcBorders>
              <w:left w:val="single" w:sz="8" w:space="0" w:color="auto"/>
              <w:right w:val="single" w:sz="8" w:space="0" w:color="auto"/>
            </w:tcBorders>
            <w:vAlign w:val="bottom"/>
          </w:tcPr>
          <w:p w14:paraId="78AE99EC" w14:textId="77777777" w:rsidR="00EF26BC" w:rsidRDefault="00343DF1">
            <w:pPr>
              <w:jc w:val="center"/>
              <w:rPr>
                <w:sz w:val="20"/>
                <w:szCs w:val="20"/>
              </w:rPr>
            </w:pPr>
            <w:r>
              <w:rPr>
                <w:rFonts w:eastAsia="Times New Roman"/>
                <w:b/>
                <w:bCs/>
                <w:w w:val="99"/>
                <w:sz w:val="20"/>
                <w:szCs w:val="20"/>
              </w:rPr>
              <w:t>2015</w:t>
            </w:r>
          </w:p>
        </w:tc>
        <w:tc>
          <w:tcPr>
            <w:tcW w:w="1540" w:type="dxa"/>
            <w:tcBorders>
              <w:right w:val="single" w:sz="8" w:space="0" w:color="auto"/>
            </w:tcBorders>
            <w:vAlign w:val="bottom"/>
          </w:tcPr>
          <w:p w14:paraId="78AE99ED" w14:textId="77777777" w:rsidR="00EF26BC" w:rsidRDefault="00343DF1">
            <w:pPr>
              <w:jc w:val="center"/>
              <w:rPr>
                <w:sz w:val="20"/>
                <w:szCs w:val="20"/>
              </w:rPr>
            </w:pPr>
            <w:r>
              <w:rPr>
                <w:rFonts w:eastAsia="Times New Roman"/>
                <w:w w:val="99"/>
                <w:sz w:val="20"/>
                <w:szCs w:val="20"/>
              </w:rPr>
              <w:t>5</w:t>
            </w:r>
          </w:p>
        </w:tc>
        <w:tc>
          <w:tcPr>
            <w:tcW w:w="1540" w:type="dxa"/>
            <w:tcBorders>
              <w:right w:val="single" w:sz="8" w:space="0" w:color="auto"/>
            </w:tcBorders>
            <w:vAlign w:val="bottom"/>
          </w:tcPr>
          <w:p w14:paraId="78AE99EE" w14:textId="77777777" w:rsidR="00EF26BC" w:rsidRDefault="00343DF1">
            <w:pPr>
              <w:jc w:val="center"/>
              <w:rPr>
                <w:sz w:val="20"/>
                <w:szCs w:val="20"/>
              </w:rPr>
            </w:pPr>
            <w:r>
              <w:rPr>
                <w:rFonts w:eastAsia="Times New Roman"/>
                <w:w w:val="99"/>
                <w:sz w:val="20"/>
                <w:szCs w:val="20"/>
              </w:rPr>
              <w:t>2</w:t>
            </w:r>
          </w:p>
        </w:tc>
        <w:tc>
          <w:tcPr>
            <w:tcW w:w="1520" w:type="dxa"/>
            <w:tcBorders>
              <w:right w:val="single" w:sz="8" w:space="0" w:color="auto"/>
            </w:tcBorders>
            <w:vAlign w:val="bottom"/>
          </w:tcPr>
          <w:p w14:paraId="78AE99EF" w14:textId="77777777" w:rsidR="00EF26BC" w:rsidRDefault="00343DF1">
            <w:pPr>
              <w:jc w:val="center"/>
              <w:rPr>
                <w:sz w:val="20"/>
                <w:szCs w:val="20"/>
              </w:rPr>
            </w:pPr>
            <w:r>
              <w:rPr>
                <w:rFonts w:eastAsia="Times New Roman"/>
                <w:w w:val="99"/>
                <w:sz w:val="20"/>
                <w:szCs w:val="20"/>
              </w:rPr>
              <w:t>1</w:t>
            </w:r>
          </w:p>
        </w:tc>
        <w:tc>
          <w:tcPr>
            <w:tcW w:w="1560" w:type="dxa"/>
            <w:tcBorders>
              <w:right w:val="single" w:sz="8" w:space="0" w:color="auto"/>
            </w:tcBorders>
            <w:vAlign w:val="bottom"/>
          </w:tcPr>
          <w:p w14:paraId="78AE99F0" w14:textId="77777777" w:rsidR="00EF26BC" w:rsidRDefault="00343DF1">
            <w:pPr>
              <w:jc w:val="center"/>
              <w:rPr>
                <w:sz w:val="20"/>
                <w:szCs w:val="20"/>
              </w:rPr>
            </w:pPr>
            <w:r>
              <w:rPr>
                <w:rFonts w:eastAsia="Times New Roman"/>
                <w:w w:val="99"/>
                <w:sz w:val="20"/>
                <w:szCs w:val="20"/>
              </w:rPr>
              <w:t>1</w:t>
            </w:r>
          </w:p>
        </w:tc>
        <w:tc>
          <w:tcPr>
            <w:tcW w:w="0" w:type="dxa"/>
            <w:vAlign w:val="bottom"/>
          </w:tcPr>
          <w:p w14:paraId="78AE99F1" w14:textId="77777777" w:rsidR="00EF26BC" w:rsidRDefault="00EF26BC">
            <w:pPr>
              <w:rPr>
                <w:sz w:val="1"/>
                <w:szCs w:val="1"/>
              </w:rPr>
            </w:pPr>
          </w:p>
        </w:tc>
      </w:tr>
      <w:tr w:rsidR="00EF26BC" w14:paraId="78AE99F9" w14:textId="77777777">
        <w:trPr>
          <w:trHeight w:val="78"/>
        </w:trPr>
        <w:tc>
          <w:tcPr>
            <w:tcW w:w="1560" w:type="dxa"/>
            <w:tcBorders>
              <w:left w:val="single" w:sz="8" w:space="0" w:color="auto"/>
              <w:bottom w:val="single" w:sz="8" w:space="0" w:color="auto"/>
              <w:right w:val="single" w:sz="8" w:space="0" w:color="auto"/>
            </w:tcBorders>
            <w:vAlign w:val="bottom"/>
          </w:tcPr>
          <w:p w14:paraId="78AE99F3"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F4"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9F5"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9F6"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9F7" w14:textId="77777777" w:rsidR="00EF26BC" w:rsidRDefault="00EF26BC">
            <w:pPr>
              <w:rPr>
                <w:sz w:val="6"/>
                <w:szCs w:val="6"/>
              </w:rPr>
            </w:pPr>
          </w:p>
        </w:tc>
        <w:tc>
          <w:tcPr>
            <w:tcW w:w="0" w:type="dxa"/>
            <w:vAlign w:val="bottom"/>
          </w:tcPr>
          <w:p w14:paraId="78AE99F8" w14:textId="77777777" w:rsidR="00EF26BC" w:rsidRDefault="00EF26BC">
            <w:pPr>
              <w:rPr>
                <w:sz w:val="1"/>
                <w:szCs w:val="1"/>
              </w:rPr>
            </w:pPr>
          </w:p>
        </w:tc>
      </w:tr>
      <w:tr w:rsidR="00EF26BC" w14:paraId="78AE9A00" w14:textId="77777777">
        <w:trPr>
          <w:trHeight w:val="344"/>
        </w:trPr>
        <w:tc>
          <w:tcPr>
            <w:tcW w:w="1560" w:type="dxa"/>
            <w:tcBorders>
              <w:left w:val="single" w:sz="8" w:space="0" w:color="auto"/>
              <w:right w:val="single" w:sz="8" w:space="0" w:color="auto"/>
            </w:tcBorders>
            <w:vAlign w:val="bottom"/>
          </w:tcPr>
          <w:p w14:paraId="78AE99FA" w14:textId="77777777" w:rsidR="00EF26BC" w:rsidRDefault="00343DF1">
            <w:pPr>
              <w:jc w:val="center"/>
              <w:rPr>
                <w:sz w:val="20"/>
                <w:szCs w:val="20"/>
              </w:rPr>
            </w:pPr>
            <w:r>
              <w:rPr>
                <w:rFonts w:eastAsia="Times New Roman"/>
                <w:b/>
                <w:bCs/>
                <w:w w:val="99"/>
                <w:sz w:val="20"/>
                <w:szCs w:val="20"/>
              </w:rPr>
              <w:t>2016</w:t>
            </w:r>
          </w:p>
        </w:tc>
        <w:tc>
          <w:tcPr>
            <w:tcW w:w="1540" w:type="dxa"/>
            <w:tcBorders>
              <w:right w:val="single" w:sz="8" w:space="0" w:color="auto"/>
            </w:tcBorders>
            <w:vAlign w:val="bottom"/>
          </w:tcPr>
          <w:p w14:paraId="78AE99FB" w14:textId="77777777" w:rsidR="00EF26BC" w:rsidRDefault="00343DF1">
            <w:pPr>
              <w:jc w:val="center"/>
              <w:rPr>
                <w:sz w:val="20"/>
                <w:szCs w:val="20"/>
              </w:rPr>
            </w:pPr>
            <w:r>
              <w:rPr>
                <w:rFonts w:eastAsia="Times New Roman"/>
                <w:w w:val="99"/>
                <w:sz w:val="20"/>
                <w:szCs w:val="20"/>
              </w:rPr>
              <w:t>3</w:t>
            </w:r>
          </w:p>
        </w:tc>
        <w:tc>
          <w:tcPr>
            <w:tcW w:w="1540" w:type="dxa"/>
            <w:tcBorders>
              <w:right w:val="single" w:sz="8" w:space="0" w:color="auto"/>
            </w:tcBorders>
            <w:vAlign w:val="bottom"/>
          </w:tcPr>
          <w:p w14:paraId="78AE99FC" w14:textId="77777777" w:rsidR="00EF26BC" w:rsidRDefault="00343DF1">
            <w:pPr>
              <w:jc w:val="center"/>
              <w:rPr>
                <w:sz w:val="20"/>
                <w:szCs w:val="20"/>
              </w:rPr>
            </w:pPr>
            <w:r>
              <w:rPr>
                <w:rFonts w:eastAsia="Times New Roman"/>
                <w:w w:val="99"/>
                <w:sz w:val="20"/>
                <w:szCs w:val="20"/>
              </w:rPr>
              <w:t>5</w:t>
            </w:r>
          </w:p>
        </w:tc>
        <w:tc>
          <w:tcPr>
            <w:tcW w:w="1520" w:type="dxa"/>
            <w:tcBorders>
              <w:right w:val="single" w:sz="8" w:space="0" w:color="auto"/>
            </w:tcBorders>
            <w:vAlign w:val="bottom"/>
          </w:tcPr>
          <w:p w14:paraId="78AE99FD" w14:textId="77777777" w:rsidR="00EF26BC" w:rsidRDefault="00343DF1">
            <w:pPr>
              <w:jc w:val="center"/>
              <w:rPr>
                <w:sz w:val="20"/>
                <w:szCs w:val="20"/>
              </w:rPr>
            </w:pPr>
            <w:r>
              <w:rPr>
                <w:rFonts w:eastAsia="Times New Roman"/>
                <w:w w:val="99"/>
                <w:sz w:val="20"/>
                <w:szCs w:val="20"/>
              </w:rPr>
              <w:t>2</w:t>
            </w:r>
          </w:p>
        </w:tc>
        <w:tc>
          <w:tcPr>
            <w:tcW w:w="1560" w:type="dxa"/>
            <w:tcBorders>
              <w:right w:val="single" w:sz="8" w:space="0" w:color="auto"/>
            </w:tcBorders>
            <w:vAlign w:val="bottom"/>
          </w:tcPr>
          <w:p w14:paraId="78AE99FE" w14:textId="77777777" w:rsidR="00EF26BC" w:rsidRDefault="00343DF1">
            <w:pPr>
              <w:jc w:val="center"/>
              <w:rPr>
                <w:sz w:val="20"/>
                <w:szCs w:val="20"/>
              </w:rPr>
            </w:pPr>
            <w:r>
              <w:rPr>
                <w:rFonts w:eastAsia="Times New Roman"/>
                <w:w w:val="99"/>
                <w:sz w:val="20"/>
                <w:szCs w:val="20"/>
              </w:rPr>
              <w:t>1</w:t>
            </w:r>
          </w:p>
        </w:tc>
        <w:tc>
          <w:tcPr>
            <w:tcW w:w="0" w:type="dxa"/>
            <w:vAlign w:val="bottom"/>
          </w:tcPr>
          <w:p w14:paraId="78AE99FF" w14:textId="77777777" w:rsidR="00EF26BC" w:rsidRDefault="00EF26BC">
            <w:pPr>
              <w:rPr>
                <w:sz w:val="1"/>
                <w:szCs w:val="1"/>
              </w:rPr>
            </w:pPr>
          </w:p>
        </w:tc>
      </w:tr>
      <w:tr w:rsidR="00EF26BC" w14:paraId="78AE9A07" w14:textId="77777777">
        <w:trPr>
          <w:trHeight w:val="78"/>
        </w:trPr>
        <w:tc>
          <w:tcPr>
            <w:tcW w:w="1560" w:type="dxa"/>
            <w:tcBorders>
              <w:left w:val="single" w:sz="8" w:space="0" w:color="auto"/>
              <w:bottom w:val="single" w:sz="8" w:space="0" w:color="auto"/>
              <w:right w:val="single" w:sz="8" w:space="0" w:color="auto"/>
            </w:tcBorders>
            <w:vAlign w:val="bottom"/>
          </w:tcPr>
          <w:p w14:paraId="78AE9A01"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02"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03"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A04"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A05" w14:textId="77777777" w:rsidR="00EF26BC" w:rsidRDefault="00EF26BC">
            <w:pPr>
              <w:rPr>
                <w:sz w:val="6"/>
                <w:szCs w:val="6"/>
              </w:rPr>
            </w:pPr>
          </w:p>
        </w:tc>
        <w:tc>
          <w:tcPr>
            <w:tcW w:w="0" w:type="dxa"/>
            <w:vAlign w:val="bottom"/>
          </w:tcPr>
          <w:p w14:paraId="78AE9A06" w14:textId="77777777" w:rsidR="00EF26BC" w:rsidRDefault="00EF26BC">
            <w:pPr>
              <w:rPr>
                <w:sz w:val="1"/>
                <w:szCs w:val="1"/>
              </w:rPr>
            </w:pPr>
          </w:p>
        </w:tc>
      </w:tr>
      <w:tr w:rsidR="00EF26BC" w14:paraId="78AE9A0E" w14:textId="77777777">
        <w:trPr>
          <w:trHeight w:val="344"/>
        </w:trPr>
        <w:tc>
          <w:tcPr>
            <w:tcW w:w="1560" w:type="dxa"/>
            <w:tcBorders>
              <w:left w:val="single" w:sz="8" w:space="0" w:color="auto"/>
              <w:right w:val="single" w:sz="8" w:space="0" w:color="auto"/>
            </w:tcBorders>
            <w:vAlign w:val="bottom"/>
          </w:tcPr>
          <w:p w14:paraId="78AE9A08" w14:textId="77777777" w:rsidR="00EF26BC" w:rsidRDefault="00343DF1">
            <w:pPr>
              <w:jc w:val="center"/>
              <w:rPr>
                <w:sz w:val="20"/>
                <w:szCs w:val="20"/>
              </w:rPr>
            </w:pPr>
            <w:r>
              <w:rPr>
                <w:rFonts w:eastAsia="Times New Roman"/>
                <w:b/>
                <w:bCs/>
                <w:w w:val="99"/>
                <w:sz w:val="20"/>
                <w:szCs w:val="20"/>
              </w:rPr>
              <w:t>2017</w:t>
            </w:r>
          </w:p>
        </w:tc>
        <w:tc>
          <w:tcPr>
            <w:tcW w:w="1540" w:type="dxa"/>
            <w:tcBorders>
              <w:right w:val="single" w:sz="8" w:space="0" w:color="auto"/>
            </w:tcBorders>
            <w:vAlign w:val="bottom"/>
          </w:tcPr>
          <w:p w14:paraId="78AE9A09" w14:textId="77777777" w:rsidR="00EF26BC" w:rsidRDefault="00343DF1">
            <w:pPr>
              <w:jc w:val="center"/>
              <w:rPr>
                <w:sz w:val="20"/>
                <w:szCs w:val="20"/>
              </w:rPr>
            </w:pPr>
            <w:r>
              <w:rPr>
                <w:rFonts w:eastAsia="Times New Roman"/>
                <w:w w:val="99"/>
                <w:sz w:val="20"/>
                <w:szCs w:val="20"/>
              </w:rPr>
              <w:t>8</w:t>
            </w:r>
          </w:p>
        </w:tc>
        <w:tc>
          <w:tcPr>
            <w:tcW w:w="1540" w:type="dxa"/>
            <w:tcBorders>
              <w:right w:val="single" w:sz="8" w:space="0" w:color="auto"/>
            </w:tcBorders>
            <w:vAlign w:val="bottom"/>
          </w:tcPr>
          <w:p w14:paraId="78AE9A0A" w14:textId="77777777" w:rsidR="00EF26BC" w:rsidRDefault="00343DF1">
            <w:pPr>
              <w:jc w:val="center"/>
              <w:rPr>
                <w:sz w:val="20"/>
                <w:szCs w:val="20"/>
              </w:rPr>
            </w:pPr>
            <w:r>
              <w:rPr>
                <w:rFonts w:eastAsia="Times New Roman"/>
                <w:w w:val="99"/>
                <w:sz w:val="20"/>
                <w:szCs w:val="20"/>
              </w:rPr>
              <w:t>5</w:t>
            </w:r>
          </w:p>
        </w:tc>
        <w:tc>
          <w:tcPr>
            <w:tcW w:w="1520" w:type="dxa"/>
            <w:tcBorders>
              <w:right w:val="single" w:sz="8" w:space="0" w:color="auto"/>
            </w:tcBorders>
            <w:vAlign w:val="bottom"/>
          </w:tcPr>
          <w:p w14:paraId="78AE9A0B" w14:textId="77777777" w:rsidR="00EF26BC" w:rsidRDefault="00343DF1">
            <w:pPr>
              <w:jc w:val="center"/>
              <w:rPr>
                <w:sz w:val="20"/>
                <w:szCs w:val="20"/>
              </w:rPr>
            </w:pPr>
            <w:r>
              <w:rPr>
                <w:rFonts w:eastAsia="Times New Roman"/>
                <w:w w:val="99"/>
                <w:sz w:val="20"/>
                <w:szCs w:val="20"/>
              </w:rPr>
              <w:t>1</w:t>
            </w:r>
          </w:p>
        </w:tc>
        <w:tc>
          <w:tcPr>
            <w:tcW w:w="1560" w:type="dxa"/>
            <w:tcBorders>
              <w:right w:val="single" w:sz="8" w:space="0" w:color="auto"/>
            </w:tcBorders>
            <w:vAlign w:val="bottom"/>
          </w:tcPr>
          <w:p w14:paraId="78AE9A0C" w14:textId="77777777" w:rsidR="00EF26BC" w:rsidRDefault="00343DF1">
            <w:pPr>
              <w:jc w:val="center"/>
              <w:rPr>
                <w:sz w:val="20"/>
                <w:szCs w:val="20"/>
              </w:rPr>
            </w:pPr>
            <w:r>
              <w:rPr>
                <w:rFonts w:eastAsia="Times New Roman"/>
                <w:w w:val="99"/>
                <w:sz w:val="20"/>
                <w:szCs w:val="20"/>
              </w:rPr>
              <w:t>0</w:t>
            </w:r>
          </w:p>
        </w:tc>
        <w:tc>
          <w:tcPr>
            <w:tcW w:w="0" w:type="dxa"/>
            <w:vAlign w:val="bottom"/>
          </w:tcPr>
          <w:p w14:paraId="78AE9A0D" w14:textId="77777777" w:rsidR="00EF26BC" w:rsidRDefault="00EF26BC">
            <w:pPr>
              <w:rPr>
                <w:sz w:val="1"/>
                <w:szCs w:val="1"/>
              </w:rPr>
            </w:pPr>
          </w:p>
        </w:tc>
      </w:tr>
      <w:tr w:rsidR="00EF26BC" w14:paraId="78AE9A15" w14:textId="77777777">
        <w:trPr>
          <w:trHeight w:val="73"/>
        </w:trPr>
        <w:tc>
          <w:tcPr>
            <w:tcW w:w="1560" w:type="dxa"/>
            <w:tcBorders>
              <w:left w:val="single" w:sz="8" w:space="0" w:color="auto"/>
              <w:bottom w:val="single" w:sz="8" w:space="0" w:color="auto"/>
              <w:right w:val="single" w:sz="8" w:space="0" w:color="auto"/>
            </w:tcBorders>
            <w:vAlign w:val="bottom"/>
          </w:tcPr>
          <w:p w14:paraId="78AE9A0F"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10"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11"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A12"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A13" w14:textId="77777777" w:rsidR="00EF26BC" w:rsidRDefault="00EF26BC">
            <w:pPr>
              <w:rPr>
                <w:sz w:val="6"/>
                <w:szCs w:val="6"/>
              </w:rPr>
            </w:pPr>
          </w:p>
        </w:tc>
        <w:tc>
          <w:tcPr>
            <w:tcW w:w="0" w:type="dxa"/>
            <w:vAlign w:val="bottom"/>
          </w:tcPr>
          <w:p w14:paraId="78AE9A14" w14:textId="77777777" w:rsidR="00EF26BC" w:rsidRDefault="00EF26BC">
            <w:pPr>
              <w:rPr>
                <w:sz w:val="1"/>
                <w:szCs w:val="1"/>
              </w:rPr>
            </w:pPr>
          </w:p>
        </w:tc>
      </w:tr>
      <w:tr w:rsidR="00EF26BC" w14:paraId="78AE9A1C" w14:textId="77777777">
        <w:trPr>
          <w:trHeight w:val="344"/>
        </w:trPr>
        <w:tc>
          <w:tcPr>
            <w:tcW w:w="1560" w:type="dxa"/>
            <w:tcBorders>
              <w:left w:val="single" w:sz="8" w:space="0" w:color="auto"/>
              <w:right w:val="single" w:sz="8" w:space="0" w:color="auto"/>
            </w:tcBorders>
            <w:vAlign w:val="bottom"/>
          </w:tcPr>
          <w:p w14:paraId="78AE9A16" w14:textId="77777777" w:rsidR="00EF26BC" w:rsidRDefault="00343DF1">
            <w:pPr>
              <w:jc w:val="center"/>
              <w:rPr>
                <w:sz w:val="20"/>
                <w:szCs w:val="20"/>
              </w:rPr>
            </w:pPr>
            <w:r>
              <w:rPr>
                <w:rFonts w:eastAsia="Times New Roman"/>
                <w:b/>
                <w:bCs/>
                <w:w w:val="99"/>
                <w:sz w:val="20"/>
                <w:szCs w:val="20"/>
              </w:rPr>
              <w:t>2018</w:t>
            </w:r>
          </w:p>
        </w:tc>
        <w:tc>
          <w:tcPr>
            <w:tcW w:w="1540" w:type="dxa"/>
            <w:tcBorders>
              <w:right w:val="single" w:sz="8" w:space="0" w:color="auto"/>
            </w:tcBorders>
            <w:vAlign w:val="bottom"/>
          </w:tcPr>
          <w:p w14:paraId="78AE9A17" w14:textId="77777777" w:rsidR="00EF26BC" w:rsidRDefault="00343DF1">
            <w:pPr>
              <w:jc w:val="center"/>
              <w:rPr>
                <w:sz w:val="20"/>
                <w:szCs w:val="20"/>
              </w:rPr>
            </w:pPr>
            <w:r>
              <w:rPr>
                <w:rFonts w:eastAsia="Times New Roman"/>
                <w:w w:val="99"/>
                <w:sz w:val="20"/>
                <w:szCs w:val="20"/>
              </w:rPr>
              <w:t>7</w:t>
            </w:r>
          </w:p>
        </w:tc>
        <w:tc>
          <w:tcPr>
            <w:tcW w:w="1540" w:type="dxa"/>
            <w:tcBorders>
              <w:right w:val="single" w:sz="8" w:space="0" w:color="auto"/>
            </w:tcBorders>
            <w:vAlign w:val="bottom"/>
          </w:tcPr>
          <w:p w14:paraId="78AE9A18" w14:textId="77777777" w:rsidR="00EF26BC" w:rsidRDefault="00343DF1">
            <w:pPr>
              <w:jc w:val="center"/>
              <w:rPr>
                <w:sz w:val="20"/>
                <w:szCs w:val="20"/>
              </w:rPr>
            </w:pPr>
            <w:r>
              <w:rPr>
                <w:rFonts w:eastAsia="Times New Roman"/>
                <w:w w:val="99"/>
                <w:sz w:val="20"/>
                <w:szCs w:val="20"/>
              </w:rPr>
              <w:t>11</w:t>
            </w:r>
          </w:p>
        </w:tc>
        <w:tc>
          <w:tcPr>
            <w:tcW w:w="1520" w:type="dxa"/>
            <w:tcBorders>
              <w:right w:val="single" w:sz="8" w:space="0" w:color="auto"/>
            </w:tcBorders>
            <w:vAlign w:val="bottom"/>
          </w:tcPr>
          <w:p w14:paraId="78AE9A19" w14:textId="77777777" w:rsidR="00EF26BC" w:rsidRDefault="00343DF1">
            <w:pPr>
              <w:jc w:val="center"/>
              <w:rPr>
                <w:sz w:val="20"/>
                <w:szCs w:val="20"/>
              </w:rPr>
            </w:pPr>
            <w:r>
              <w:rPr>
                <w:rFonts w:eastAsia="Times New Roman"/>
                <w:w w:val="99"/>
                <w:sz w:val="20"/>
                <w:szCs w:val="20"/>
              </w:rPr>
              <w:t>2</w:t>
            </w:r>
          </w:p>
        </w:tc>
        <w:tc>
          <w:tcPr>
            <w:tcW w:w="1560" w:type="dxa"/>
            <w:tcBorders>
              <w:right w:val="single" w:sz="8" w:space="0" w:color="auto"/>
            </w:tcBorders>
            <w:vAlign w:val="bottom"/>
          </w:tcPr>
          <w:p w14:paraId="78AE9A1A" w14:textId="77777777" w:rsidR="00EF26BC" w:rsidRDefault="00343DF1">
            <w:pPr>
              <w:jc w:val="center"/>
              <w:rPr>
                <w:sz w:val="20"/>
                <w:szCs w:val="20"/>
              </w:rPr>
            </w:pPr>
            <w:r>
              <w:rPr>
                <w:rFonts w:eastAsia="Times New Roman"/>
                <w:w w:val="99"/>
                <w:sz w:val="20"/>
                <w:szCs w:val="20"/>
              </w:rPr>
              <w:t>6</w:t>
            </w:r>
          </w:p>
        </w:tc>
        <w:tc>
          <w:tcPr>
            <w:tcW w:w="0" w:type="dxa"/>
            <w:vAlign w:val="bottom"/>
          </w:tcPr>
          <w:p w14:paraId="78AE9A1B" w14:textId="77777777" w:rsidR="00EF26BC" w:rsidRDefault="00EF26BC">
            <w:pPr>
              <w:rPr>
                <w:sz w:val="1"/>
                <w:szCs w:val="1"/>
              </w:rPr>
            </w:pPr>
          </w:p>
        </w:tc>
      </w:tr>
      <w:tr w:rsidR="00EF26BC" w14:paraId="78AE9A23" w14:textId="77777777">
        <w:trPr>
          <w:trHeight w:val="78"/>
        </w:trPr>
        <w:tc>
          <w:tcPr>
            <w:tcW w:w="1560" w:type="dxa"/>
            <w:tcBorders>
              <w:left w:val="single" w:sz="8" w:space="0" w:color="auto"/>
              <w:bottom w:val="single" w:sz="8" w:space="0" w:color="auto"/>
              <w:right w:val="single" w:sz="8" w:space="0" w:color="auto"/>
            </w:tcBorders>
            <w:vAlign w:val="bottom"/>
          </w:tcPr>
          <w:p w14:paraId="78AE9A1D"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1E"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1F"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A20"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A21" w14:textId="77777777" w:rsidR="00EF26BC" w:rsidRDefault="00EF26BC">
            <w:pPr>
              <w:rPr>
                <w:sz w:val="6"/>
                <w:szCs w:val="6"/>
              </w:rPr>
            </w:pPr>
          </w:p>
        </w:tc>
        <w:tc>
          <w:tcPr>
            <w:tcW w:w="0" w:type="dxa"/>
            <w:vAlign w:val="bottom"/>
          </w:tcPr>
          <w:p w14:paraId="78AE9A22" w14:textId="77777777" w:rsidR="00EF26BC" w:rsidRDefault="00EF26BC">
            <w:pPr>
              <w:rPr>
                <w:sz w:val="1"/>
                <w:szCs w:val="1"/>
              </w:rPr>
            </w:pPr>
          </w:p>
        </w:tc>
      </w:tr>
      <w:tr w:rsidR="00EF26BC" w14:paraId="78AE9A2A" w14:textId="77777777">
        <w:trPr>
          <w:trHeight w:val="344"/>
        </w:trPr>
        <w:tc>
          <w:tcPr>
            <w:tcW w:w="1560" w:type="dxa"/>
            <w:tcBorders>
              <w:left w:val="single" w:sz="8" w:space="0" w:color="auto"/>
              <w:right w:val="single" w:sz="8" w:space="0" w:color="auto"/>
            </w:tcBorders>
            <w:vAlign w:val="bottom"/>
          </w:tcPr>
          <w:p w14:paraId="78AE9A24" w14:textId="77777777" w:rsidR="00EF26BC" w:rsidRDefault="00343DF1">
            <w:pPr>
              <w:jc w:val="center"/>
              <w:rPr>
                <w:sz w:val="20"/>
                <w:szCs w:val="20"/>
              </w:rPr>
            </w:pPr>
            <w:r>
              <w:rPr>
                <w:rFonts w:eastAsia="Times New Roman"/>
                <w:b/>
                <w:bCs/>
                <w:w w:val="99"/>
                <w:sz w:val="20"/>
                <w:szCs w:val="20"/>
              </w:rPr>
              <w:t>2019</w:t>
            </w:r>
          </w:p>
        </w:tc>
        <w:tc>
          <w:tcPr>
            <w:tcW w:w="1540" w:type="dxa"/>
            <w:tcBorders>
              <w:right w:val="single" w:sz="8" w:space="0" w:color="auto"/>
            </w:tcBorders>
            <w:vAlign w:val="bottom"/>
          </w:tcPr>
          <w:p w14:paraId="78AE9A25" w14:textId="77777777" w:rsidR="00EF26BC" w:rsidRDefault="00343DF1">
            <w:pPr>
              <w:jc w:val="center"/>
              <w:rPr>
                <w:sz w:val="20"/>
                <w:szCs w:val="20"/>
              </w:rPr>
            </w:pPr>
            <w:r>
              <w:rPr>
                <w:rFonts w:eastAsia="Times New Roman"/>
                <w:w w:val="99"/>
                <w:sz w:val="20"/>
                <w:szCs w:val="20"/>
              </w:rPr>
              <w:t>4</w:t>
            </w:r>
          </w:p>
        </w:tc>
        <w:tc>
          <w:tcPr>
            <w:tcW w:w="1540" w:type="dxa"/>
            <w:tcBorders>
              <w:right w:val="single" w:sz="8" w:space="0" w:color="auto"/>
            </w:tcBorders>
            <w:vAlign w:val="bottom"/>
          </w:tcPr>
          <w:p w14:paraId="78AE9A26" w14:textId="77777777" w:rsidR="00EF26BC" w:rsidRDefault="00343DF1">
            <w:pPr>
              <w:jc w:val="center"/>
              <w:rPr>
                <w:sz w:val="20"/>
                <w:szCs w:val="20"/>
              </w:rPr>
            </w:pPr>
            <w:r>
              <w:rPr>
                <w:rFonts w:eastAsia="Times New Roman"/>
                <w:w w:val="99"/>
                <w:sz w:val="20"/>
                <w:szCs w:val="20"/>
              </w:rPr>
              <w:t>6</w:t>
            </w:r>
          </w:p>
        </w:tc>
        <w:tc>
          <w:tcPr>
            <w:tcW w:w="1520" w:type="dxa"/>
            <w:tcBorders>
              <w:right w:val="single" w:sz="8" w:space="0" w:color="auto"/>
            </w:tcBorders>
            <w:vAlign w:val="bottom"/>
          </w:tcPr>
          <w:p w14:paraId="78AE9A27" w14:textId="77777777" w:rsidR="00EF26BC" w:rsidRDefault="00343DF1">
            <w:pPr>
              <w:jc w:val="center"/>
              <w:rPr>
                <w:sz w:val="20"/>
                <w:szCs w:val="20"/>
              </w:rPr>
            </w:pPr>
            <w:r>
              <w:rPr>
                <w:rFonts w:eastAsia="Times New Roman"/>
                <w:w w:val="99"/>
                <w:sz w:val="20"/>
                <w:szCs w:val="20"/>
              </w:rPr>
              <w:t>0</w:t>
            </w:r>
          </w:p>
        </w:tc>
        <w:tc>
          <w:tcPr>
            <w:tcW w:w="1560" w:type="dxa"/>
            <w:tcBorders>
              <w:right w:val="single" w:sz="8" w:space="0" w:color="auto"/>
            </w:tcBorders>
            <w:vAlign w:val="bottom"/>
          </w:tcPr>
          <w:p w14:paraId="78AE9A28" w14:textId="77777777" w:rsidR="00EF26BC" w:rsidRDefault="00343DF1">
            <w:pPr>
              <w:jc w:val="center"/>
              <w:rPr>
                <w:sz w:val="20"/>
                <w:szCs w:val="20"/>
              </w:rPr>
            </w:pPr>
            <w:r>
              <w:rPr>
                <w:rFonts w:eastAsia="Times New Roman"/>
                <w:w w:val="99"/>
                <w:sz w:val="20"/>
                <w:szCs w:val="20"/>
              </w:rPr>
              <w:t>3</w:t>
            </w:r>
          </w:p>
        </w:tc>
        <w:tc>
          <w:tcPr>
            <w:tcW w:w="0" w:type="dxa"/>
            <w:vAlign w:val="bottom"/>
          </w:tcPr>
          <w:p w14:paraId="78AE9A29" w14:textId="77777777" w:rsidR="00EF26BC" w:rsidRDefault="00EF26BC">
            <w:pPr>
              <w:rPr>
                <w:sz w:val="1"/>
                <w:szCs w:val="1"/>
              </w:rPr>
            </w:pPr>
          </w:p>
        </w:tc>
      </w:tr>
      <w:tr w:rsidR="00EF26BC" w14:paraId="78AE9A31" w14:textId="77777777">
        <w:trPr>
          <w:trHeight w:val="78"/>
        </w:trPr>
        <w:tc>
          <w:tcPr>
            <w:tcW w:w="1560" w:type="dxa"/>
            <w:tcBorders>
              <w:left w:val="single" w:sz="8" w:space="0" w:color="auto"/>
              <w:bottom w:val="single" w:sz="8" w:space="0" w:color="auto"/>
              <w:right w:val="single" w:sz="8" w:space="0" w:color="auto"/>
            </w:tcBorders>
            <w:vAlign w:val="bottom"/>
          </w:tcPr>
          <w:p w14:paraId="78AE9A2B"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2C" w14:textId="77777777" w:rsidR="00EF26BC" w:rsidRDefault="00EF26BC">
            <w:pPr>
              <w:rPr>
                <w:sz w:val="6"/>
                <w:szCs w:val="6"/>
              </w:rPr>
            </w:pPr>
          </w:p>
        </w:tc>
        <w:tc>
          <w:tcPr>
            <w:tcW w:w="1540" w:type="dxa"/>
            <w:tcBorders>
              <w:bottom w:val="single" w:sz="8" w:space="0" w:color="auto"/>
              <w:right w:val="single" w:sz="8" w:space="0" w:color="auto"/>
            </w:tcBorders>
            <w:vAlign w:val="bottom"/>
          </w:tcPr>
          <w:p w14:paraId="78AE9A2D" w14:textId="77777777" w:rsidR="00EF26BC" w:rsidRDefault="00EF26BC">
            <w:pPr>
              <w:rPr>
                <w:sz w:val="6"/>
                <w:szCs w:val="6"/>
              </w:rPr>
            </w:pPr>
          </w:p>
        </w:tc>
        <w:tc>
          <w:tcPr>
            <w:tcW w:w="1520" w:type="dxa"/>
            <w:tcBorders>
              <w:bottom w:val="single" w:sz="8" w:space="0" w:color="auto"/>
              <w:right w:val="single" w:sz="8" w:space="0" w:color="auto"/>
            </w:tcBorders>
            <w:vAlign w:val="bottom"/>
          </w:tcPr>
          <w:p w14:paraId="78AE9A2E" w14:textId="77777777" w:rsidR="00EF26BC" w:rsidRDefault="00EF26BC">
            <w:pPr>
              <w:rPr>
                <w:sz w:val="6"/>
                <w:szCs w:val="6"/>
              </w:rPr>
            </w:pPr>
          </w:p>
        </w:tc>
        <w:tc>
          <w:tcPr>
            <w:tcW w:w="1560" w:type="dxa"/>
            <w:tcBorders>
              <w:bottom w:val="single" w:sz="8" w:space="0" w:color="auto"/>
              <w:right w:val="single" w:sz="8" w:space="0" w:color="auto"/>
            </w:tcBorders>
            <w:vAlign w:val="bottom"/>
          </w:tcPr>
          <w:p w14:paraId="78AE9A2F" w14:textId="77777777" w:rsidR="00EF26BC" w:rsidRDefault="00EF26BC">
            <w:pPr>
              <w:rPr>
                <w:sz w:val="6"/>
                <w:szCs w:val="6"/>
              </w:rPr>
            </w:pPr>
          </w:p>
        </w:tc>
        <w:tc>
          <w:tcPr>
            <w:tcW w:w="0" w:type="dxa"/>
            <w:vAlign w:val="bottom"/>
          </w:tcPr>
          <w:p w14:paraId="78AE9A30" w14:textId="77777777" w:rsidR="00EF26BC" w:rsidRDefault="00EF26BC">
            <w:pPr>
              <w:rPr>
                <w:sz w:val="1"/>
                <w:szCs w:val="1"/>
              </w:rPr>
            </w:pPr>
          </w:p>
        </w:tc>
      </w:tr>
      <w:tr w:rsidR="00EF26BC" w14:paraId="78AE9A38" w14:textId="77777777">
        <w:trPr>
          <w:trHeight w:val="344"/>
        </w:trPr>
        <w:tc>
          <w:tcPr>
            <w:tcW w:w="1560" w:type="dxa"/>
            <w:tcBorders>
              <w:left w:val="single" w:sz="8" w:space="0" w:color="auto"/>
              <w:right w:val="single" w:sz="8" w:space="0" w:color="auto"/>
            </w:tcBorders>
            <w:vAlign w:val="bottom"/>
          </w:tcPr>
          <w:p w14:paraId="78AE9A32" w14:textId="77777777" w:rsidR="00EF26BC" w:rsidRDefault="00343DF1">
            <w:pPr>
              <w:jc w:val="center"/>
              <w:rPr>
                <w:sz w:val="20"/>
                <w:szCs w:val="20"/>
              </w:rPr>
            </w:pPr>
            <w:r>
              <w:rPr>
                <w:rFonts w:eastAsia="Times New Roman"/>
                <w:b/>
                <w:bCs/>
                <w:w w:val="96"/>
                <w:sz w:val="20"/>
                <w:szCs w:val="20"/>
              </w:rPr>
              <w:t>Total</w:t>
            </w:r>
          </w:p>
        </w:tc>
        <w:tc>
          <w:tcPr>
            <w:tcW w:w="1540" w:type="dxa"/>
            <w:tcBorders>
              <w:right w:val="single" w:sz="8" w:space="0" w:color="auto"/>
            </w:tcBorders>
            <w:vAlign w:val="bottom"/>
          </w:tcPr>
          <w:p w14:paraId="78AE9A33" w14:textId="77777777" w:rsidR="00EF26BC" w:rsidRDefault="00343DF1">
            <w:pPr>
              <w:jc w:val="center"/>
              <w:rPr>
                <w:sz w:val="20"/>
                <w:szCs w:val="20"/>
              </w:rPr>
            </w:pPr>
            <w:r>
              <w:rPr>
                <w:rFonts w:ascii="Calibri" w:eastAsia="Calibri" w:hAnsi="Calibri" w:cs="Calibri"/>
                <w:w w:val="98"/>
                <w:sz w:val="20"/>
                <w:szCs w:val="20"/>
              </w:rPr>
              <w:t>53</w:t>
            </w:r>
          </w:p>
        </w:tc>
        <w:tc>
          <w:tcPr>
            <w:tcW w:w="1540" w:type="dxa"/>
            <w:tcBorders>
              <w:right w:val="single" w:sz="8" w:space="0" w:color="auto"/>
            </w:tcBorders>
            <w:vAlign w:val="bottom"/>
          </w:tcPr>
          <w:p w14:paraId="78AE9A34" w14:textId="77777777" w:rsidR="00EF26BC" w:rsidRDefault="00343DF1">
            <w:pPr>
              <w:jc w:val="center"/>
              <w:rPr>
                <w:sz w:val="20"/>
                <w:szCs w:val="20"/>
              </w:rPr>
            </w:pPr>
            <w:r>
              <w:rPr>
                <w:rFonts w:ascii="Calibri" w:eastAsia="Calibri" w:hAnsi="Calibri" w:cs="Calibri"/>
                <w:w w:val="98"/>
                <w:sz w:val="20"/>
                <w:szCs w:val="20"/>
              </w:rPr>
              <w:t>53</w:t>
            </w:r>
          </w:p>
        </w:tc>
        <w:tc>
          <w:tcPr>
            <w:tcW w:w="1520" w:type="dxa"/>
            <w:tcBorders>
              <w:right w:val="single" w:sz="8" w:space="0" w:color="auto"/>
            </w:tcBorders>
            <w:vAlign w:val="bottom"/>
          </w:tcPr>
          <w:p w14:paraId="78AE9A35" w14:textId="77777777" w:rsidR="00EF26BC" w:rsidRDefault="00343DF1">
            <w:pPr>
              <w:jc w:val="center"/>
              <w:rPr>
                <w:sz w:val="20"/>
                <w:szCs w:val="20"/>
              </w:rPr>
            </w:pPr>
            <w:r>
              <w:rPr>
                <w:rFonts w:ascii="Calibri" w:eastAsia="Calibri" w:hAnsi="Calibri" w:cs="Calibri"/>
                <w:sz w:val="20"/>
                <w:szCs w:val="20"/>
              </w:rPr>
              <w:t>21</w:t>
            </w:r>
          </w:p>
        </w:tc>
        <w:tc>
          <w:tcPr>
            <w:tcW w:w="1560" w:type="dxa"/>
            <w:tcBorders>
              <w:right w:val="single" w:sz="8" w:space="0" w:color="auto"/>
            </w:tcBorders>
            <w:vAlign w:val="bottom"/>
          </w:tcPr>
          <w:p w14:paraId="78AE9A36" w14:textId="77777777" w:rsidR="00EF26BC" w:rsidRDefault="00343DF1">
            <w:pPr>
              <w:jc w:val="center"/>
              <w:rPr>
                <w:sz w:val="20"/>
                <w:szCs w:val="20"/>
              </w:rPr>
            </w:pPr>
            <w:r>
              <w:rPr>
                <w:rFonts w:ascii="Calibri" w:eastAsia="Calibri" w:hAnsi="Calibri" w:cs="Calibri"/>
                <w:w w:val="98"/>
                <w:sz w:val="20"/>
                <w:szCs w:val="20"/>
              </w:rPr>
              <w:t>19</w:t>
            </w:r>
          </w:p>
        </w:tc>
        <w:tc>
          <w:tcPr>
            <w:tcW w:w="0" w:type="dxa"/>
            <w:vAlign w:val="bottom"/>
          </w:tcPr>
          <w:p w14:paraId="78AE9A37" w14:textId="77777777" w:rsidR="00EF26BC" w:rsidRDefault="00EF26BC">
            <w:pPr>
              <w:rPr>
                <w:sz w:val="1"/>
                <w:szCs w:val="1"/>
              </w:rPr>
            </w:pPr>
          </w:p>
        </w:tc>
      </w:tr>
      <w:tr w:rsidR="00EF26BC" w14:paraId="78AE9A3F" w14:textId="77777777">
        <w:trPr>
          <w:trHeight w:val="87"/>
        </w:trPr>
        <w:tc>
          <w:tcPr>
            <w:tcW w:w="1560" w:type="dxa"/>
            <w:tcBorders>
              <w:left w:val="single" w:sz="8" w:space="0" w:color="auto"/>
              <w:bottom w:val="single" w:sz="8" w:space="0" w:color="auto"/>
              <w:right w:val="single" w:sz="8" w:space="0" w:color="auto"/>
            </w:tcBorders>
            <w:vAlign w:val="bottom"/>
          </w:tcPr>
          <w:p w14:paraId="78AE9A39" w14:textId="77777777" w:rsidR="00EF26BC" w:rsidRDefault="00EF26BC">
            <w:pPr>
              <w:rPr>
                <w:sz w:val="7"/>
                <w:szCs w:val="7"/>
              </w:rPr>
            </w:pPr>
          </w:p>
        </w:tc>
        <w:tc>
          <w:tcPr>
            <w:tcW w:w="1540" w:type="dxa"/>
            <w:tcBorders>
              <w:bottom w:val="single" w:sz="8" w:space="0" w:color="auto"/>
              <w:right w:val="single" w:sz="8" w:space="0" w:color="auto"/>
            </w:tcBorders>
            <w:vAlign w:val="bottom"/>
          </w:tcPr>
          <w:p w14:paraId="78AE9A3A" w14:textId="77777777" w:rsidR="00EF26BC" w:rsidRDefault="00EF26BC">
            <w:pPr>
              <w:rPr>
                <w:sz w:val="7"/>
                <w:szCs w:val="7"/>
              </w:rPr>
            </w:pPr>
          </w:p>
        </w:tc>
        <w:tc>
          <w:tcPr>
            <w:tcW w:w="1540" w:type="dxa"/>
            <w:tcBorders>
              <w:bottom w:val="single" w:sz="8" w:space="0" w:color="auto"/>
              <w:right w:val="single" w:sz="8" w:space="0" w:color="auto"/>
            </w:tcBorders>
            <w:vAlign w:val="bottom"/>
          </w:tcPr>
          <w:p w14:paraId="78AE9A3B" w14:textId="77777777" w:rsidR="00EF26BC" w:rsidRDefault="00EF26BC">
            <w:pPr>
              <w:rPr>
                <w:sz w:val="7"/>
                <w:szCs w:val="7"/>
              </w:rPr>
            </w:pPr>
          </w:p>
        </w:tc>
        <w:tc>
          <w:tcPr>
            <w:tcW w:w="1520" w:type="dxa"/>
            <w:tcBorders>
              <w:bottom w:val="single" w:sz="8" w:space="0" w:color="auto"/>
              <w:right w:val="single" w:sz="8" w:space="0" w:color="auto"/>
            </w:tcBorders>
            <w:vAlign w:val="bottom"/>
          </w:tcPr>
          <w:p w14:paraId="78AE9A3C" w14:textId="77777777" w:rsidR="00EF26BC" w:rsidRDefault="00EF26BC">
            <w:pPr>
              <w:rPr>
                <w:sz w:val="7"/>
                <w:szCs w:val="7"/>
              </w:rPr>
            </w:pPr>
          </w:p>
        </w:tc>
        <w:tc>
          <w:tcPr>
            <w:tcW w:w="1560" w:type="dxa"/>
            <w:tcBorders>
              <w:bottom w:val="single" w:sz="8" w:space="0" w:color="auto"/>
              <w:right w:val="single" w:sz="8" w:space="0" w:color="auto"/>
            </w:tcBorders>
            <w:vAlign w:val="bottom"/>
          </w:tcPr>
          <w:p w14:paraId="78AE9A3D" w14:textId="77777777" w:rsidR="00EF26BC" w:rsidRDefault="00EF26BC">
            <w:pPr>
              <w:rPr>
                <w:sz w:val="7"/>
                <w:szCs w:val="7"/>
              </w:rPr>
            </w:pPr>
          </w:p>
        </w:tc>
        <w:tc>
          <w:tcPr>
            <w:tcW w:w="0" w:type="dxa"/>
            <w:vAlign w:val="bottom"/>
          </w:tcPr>
          <w:p w14:paraId="78AE9A3E" w14:textId="77777777" w:rsidR="00EF26BC" w:rsidRDefault="00EF26BC">
            <w:pPr>
              <w:rPr>
                <w:sz w:val="1"/>
                <w:szCs w:val="1"/>
              </w:rPr>
            </w:pPr>
          </w:p>
        </w:tc>
      </w:tr>
    </w:tbl>
    <w:p w14:paraId="78AE9A40" w14:textId="77777777" w:rsidR="00EF26BC" w:rsidRDefault="00EF26BC">
      <w:pPr>
        <w:spacing w:line="78" w:lineRule="exact"/>
        <w:rPr>
          <w:sz w:val="20"/>
          <w:szCs w:val="20"/>
        </w:rPr>
      </w:pPr>
    </w:p>
    <w:p w14:paraId="78AE9A41" w14:textId="77777777" w:rsidR="00EF26BC" w:rsidRDefault="00343DF1">
      <w:pPr>
        <w:spacing w:line="280" w:lineRule="auto"/>
        <w:ind w:left="820" w:right="1820"/>
        <w:jc w:val="both"/>
        <w:rPr>
          <w:sz w:val="20"/>
          <w:szCs w:val="20"/>
        </w:rPr>
      </w:pPr>
      <w:r>
        <w:rPr>
          <w:rFonts w:eastAsia="Times New Roman"/>
        </w:rPr>
        <w:t xml:space="preserve">Fuente: Elaboración propia a partir de las </w:t>
      </w:r>
      <w:r>
        <w:rPr>
          <w:rFonts w:eastAsia="Times New Roman"/>
        </w:rPr>
        <w:t>estadísticas del Departamento de Planificación. Sección de Estadística del Poder Judicial de Costa Rica.</w:t>
      </w:r>
    </w:p>
    <w:p w14:paraId="78AE9A42" w14:textId="77777777" w:rsidR="00EF26BC" w:rsidRDefault="00EF26BC">
      <w:pPr>
        <w:spacing w:line="200" w:lineRule="exact"/>
        <w:rPr>
          <w:sz w:val="20"/>
          <w:szCs w:val="20"/>
        </w:rPr>
      </w:pPr>
    </w:p>
    <w:p w14:paraId="78AE9A43" w14:textId="77777777" w:rsidR="00EF26BC" w:rsidRDefault="00EF26BC">
      <w:pPr>
        <w:spacing w:line="391" w:lineRule="exact"/>
        <w:rPr>
          <w:sz w:val="20"/>
          <w:szCs w:val="20"/>
        </w:rPr>
      </w:pPr>
    </w:p>
    <w:p w14:paraId="78AE9A44" w14:textId="77777777" w:rsidR="00EF26BC" w:rsidRDefault="00343DF1">
      <w:pPr>
        <w:spacing w:line="257" w:lineRule="auto"/>
        <w:ind w:left="820" w:right="1820"/>
        <w:jc w:val="both"/>
        <w:rPr>
          <w:sz w:val="20"/>
          <w:szCs w:val="20"/>
        </w:rPr>
      </w:pPr>
      <w:r>
        <w:rPr>
          <w:rFonts w:eastAsia="Times New Roman"/>
          <w:sz w:val="23"/>
          <w:szCs w:val="23"/>
        </w:rPr>
        <w:t>Si se hace un balance general de todos los delitos que trata la ley de Penalización de la Violencia, las demandas son muchas, pero las condenas de pr</w:t>
      </w:r>
      <w:r>
        <w:rPr>
          <w:rFonts w:eastAsia="Times New Roman"/>
          <w:sz w:val="23"/>
          <w:szCs w:val="23"/>
        </w:rPr>
        <w:t>isión muy pocas, lo cual se refleja en la población carcelaria que cumple penas por infracciones a esta ley. La relación entre el alto número de denuncias por los delitos cometidos y el bajo número de personas que se encuentran en algún centro penitenciari</w:t>
      </w:r>
      <w:r>
        <w:rPr>
          <w:rFonts w:eastAsia="Times New Roman"/>
          <w:sz w:val="23"/>
          <w:szCs w:val="23"/>
        </w:rPr>
        <w:t>o por autoría de algún delito contemplado en la Ley Nº 8589 podría explicarse, en lo formal, en que las sentencias establecen sanciones de privación de libertad, penas alternativas, prestación de servicios de utilidad pública, entre</w:t>
      </w:r>
    </w:p>
    <w:p w14:paraId="78AE9A45" w14:textId="77777777" w:rsidR="00EF26BC" w:rsidRDefault="00EF26BC">
      <w:pPr>
        <w:spacing w:line="200" w:lineRule="exact"/>
        <w:rPr>
          <w:sz w:val="20"/>
          <w:szCs w:val="20"/>
        </w:rPr>
      </w:pPr>
    </w:p>
    <w:p w14:paraId="78AE9A46" w14:textId="77777777" w:rsidR="00EF26BC" w:rsidRDefault="00EF26BC">
      <w:pPr>
        <w:spacing w:line="200" w:lineRule="exact"/>
        <w:rPr>
          <w:sz w:val="20"/>
          <w:szCs w:val="20"/>
        </w:rPr>
      </w:pPr>
    </w:p>
    <w:p w14:paraId="78AE9A47" w14:textId="77777777" w:rsidR="00EF26BC" w:rsidRDefault="00EF26BC">
      <w:pPr>
        <w:spacing w:line="265"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A4B" w14:textId="77777777">
        <w:trPr>
          <w:trHeight w:val="240"/>
        </w:trPr>
        <w:tc>
          <w:tcPr>
            <w:tcW w:w="6940" w:type="dxa"/>
            <w:vAlign w:val="bottom"/>
          </w:tcPr>
          <w:p w14:paraId="78AE9A48" w14:textId="77777777" w:rsidR="00EF26BC" w:rsidRDefault="00343DF1">
            <w:pPr>
              <w:ind w:right="1119"/>
              <w:jc w:val="center"/>
              <w:rPr>
                <w:sz w:val="20"/>
                <w:szCs w:val="20"/>
              </w:rPr>
            </w:pPr>
            <w:r>
              <w:rPr>
                <w:rFonts w:ascii="Arial" w:eastAsia="Arial" w:hAnsi="Arial" w:cs="Arial"/>
                <w:w w:val="96"/>
                <w:sz w:val="20"/>
                <w:szCs w:val="20"/>
              </w:rPr>
              <w:t xml:space="preserve">Anuario del </w:t>
            </w:r>
            <w:r>
              <w:rPr>
                <w:rFonts w:ascii="Arial" w:eastAsia="Arial" w:hAnsi="Arial" w:cs="Arial"/>
                <w:w w:val="96"/>
                <w:sz w:val="20"/>
                <w:szCs w:val="20"/>
              </w:rPr>
              <w:t>Centro de Investigación y Estudios Políticos</w:t>
            </w:r>
          </w:p>
        </w:tc>
        <w:tc>
          <w:tcPr>
            <w:tcW w:w="1580" w:type="dxa"/>
            <w:vMerge w:val="restart"/>
            <w:vAlign w:val="bottom"/>
          </w:tcPr>
          <w:p w14:paraId="78AE9A49" w14:textId="77777777" w:rsidR="00EF26BC" w:rsidRDefault="00343DF1">
            <w:pPr>
              <w:jc w:val="right"/>
              <w:rPr>
                <w:sz w:val="20"/>
                <w:szCs w:val="20"/>
              </w:rPr>
            </w:pPr>
            <w:r>
              <w:rPr>
                <w:rFonts w:ascii="Arial" w:eastAsia="Arial" w:hAnsi="Arial" w:cs="Arial"/>
              </w:rPr>
              <w:t>106</w:t>
            </w:r>
          </w:p>
        </w:tc>
        <w:tc>
          <w:tcPr>
            <w:tcW w:w="0" w:type="dxa"/>
            <w:vAlign w:val="bottom"/>
          </w:tcPr>
          <w:p w14:paraId="78AE9A4A" w14:textId="77777777" w:rsidR="00EF26BC" w:rsidRDefault="00EF26BC">
            <w:pPr>
              <w:rPr>
                <w:sz w:val="1"/>
                <w:szCs w:val="1"/>
              </w:rPr>
            </w:pPr>
          </w:p>
        </w:tc>
      </w:tr>
      <w:tr w:rsidR="00EF26BC" w14:paraId="78AE9A4F" w14:textId="77777777">
        <w:trPr>
          <w:trHeight w:val="270"/>
        </w:trPr>
        <w:tc>
          <w:tcPr>
            <w:tcW w:w="6940" w:type="dxa"/>
            <w:vAlign w:val="bottom"/>
          </w:tcPr>
          <w:p w14:paraId="78AE9A4C"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A4D" w14:textId="77777777" w:rsidR="00EF26BC" w:rsidRDefault="00EF26BC">
            <w:pPr>
              <w:rPr>
                <w:sz w:val="23"/>
                <w:szCs w:val="23"/>
              </w:rPr>
            </w:pPr>
          </w:p>
        </w:tc>
        <w:tc>
          <w:tcPr>
            <w:tcW w:w="0" w:type="dxa"/>
            <w:vAlign w:val="bottom"/>
          </w:tcPr>
          <w:p w14:paraId="78AE9A4E" w14:textId="77777777" w:rsidR="00EF26BC" w:rsidRDefault="00EF26BC">
            <w:pPr>
              <w:rPr>
                <w:sz w:val="1"/>
                <w:szCs w:val="1"/>
              </w:rPr>
            </w:pPr>
          </w:p>
        </w:tc>
      </w:tr>
    </w:tbl>
    <w:p w14:paraId="78AE9A50" w14:textId="77777777" w:rsidR="00EF26BC" w:rsidRDefault="00EF26BC">
      <w:pPr>
        <w:sectPr w:rsidR="00EF26BC">
          <w:pgSz w:w="12240" w:h="15840"/>
          <w:pgMar w:top="714" w:right="460" w:bottom="112" w:left="1440" w:header="0" w:footer="0" w:gutter="0"/>
          <w:cols w:space="720" w:equalWidth="0">
            <w:col w:w="10340"/>
          </w:cols>
        </w:sectPr>
      </w:pPr>
    </w:p>
    <w:p w14:paraId="78AE9A51" w14:textId="77777777" w:rsidR="00EF26BC" w:rsidRDefault="00343DF1">
      <w:pPr>
        <w:ind w:left="2960"/>
        <w:rPr>
          <w:sz w:val="20"/>
          <w:szCs w:val="20"/>
        </w:rPr>
      </w:pPr>
      <w:bookmarkStart w:id="18" w:name="page19"/>
      <w:bookmarkEnd w:id="18"/>
      <w:r>
        <w:rPr>
          <w:rFonts w:ascii="Arial" w:eastAsia="Arial" w:hAnsi="Arial" w:cs="Arial"/>
          <w:sz w:val="20"/>
          <w:szCs w:val="20"/>
        </w:rPr>
        <w:lastRenderedPageBreak/>
        <w:t>Violencia contra las mujeres y femicidio</w:t>
      </w:r>
    </w:p>
    <w:p w14:paraId="78AE9A52" w14:textId="77777777" w:rsidR="00EF26BC" w:rsidRDefault="00EF26BC">
      <w:pPr>
        <w:spacing w:line="200" w:lineRule="exact"/>
        <w:rPr>
          <w:sz w:val="20"/>
          <w:szCs w:val="20"/>
        </w:rPr>
      </w:pPr>
    </w:p>
    <w:p w14:paraId="78AE9A53" w14:textId="77777777" w:rsidR="00EF26BC" w:rsidRDefault="00EF26BC">
      <w:pPr>
        <w:spacing w:line="331" w:lineRule="exact"/>
        <w:rPr>
          <w:sz w:val="20"/>
          <w:szCs w:val="20"/>
        </w:rPr>
      </w:pPr>
    </w:p>
    <w:p w14:paraId="78AE9A54" w14:textId="77777777" w:rsidR="00EF26BC" w:rsidRDefault="00343DF1">
      <w:pPr>
        <w:spacing w:line="280" w:lineRule="auto"/>
        <w:ind w:left="820" w:right="1800"/>
        <w:jc w:val="both"/>
        <w:rPr>
          <w:sz w:val="20"/>
          <w:szCs w:val="20"/>
        </w:rPr>
      </w:pPr>
      <w:r>
        <w:rPr>
          <w:rFonts w:eastAsia="Times New Roman"/>
          <w:sz w:val="24"/>
          <w:szCs w:val="24"/>
        </w:rPr>
        <w:t xml:space="preserve">otros castigos de acuerdo con la gravedad de la denuncia o una sentencia </w:t>
      </w:r>
      <w:r>
        <w:rPr>
          <w:rFonts w:eastAsia="Times New Roman"/>
          <w:sz w:val="24"/>
          <w:szCs w:val="24"/>
        </w:rPr>
        <w:t>absolutoria.</w:t>
      </w:r>
    </w:p>
    <w:p w14:paraId="78AE9A55" w14:textId="77777777" w:rsidR="00EF26BC" w:rsidRDefault="00EF26BC">
      <w:pPr>
        <w:spacing w:line="191" w:lineRule="exact"/>
        <w:rPr>
          <w:sz w:val="20"/>
          <w:szCs w:val="20"/>
        </w:rPr>
      </w:pPr>
    </w:p>
    <w:p w14:paraId="78AE9A56" w14:textId="77777777" w:rsidR="00EF26BC" w:rsidRDefault="00343DF1">
      <w:pPr>
        <w:spacing w:line="244" w:lineRule="auto"/>
        <w:ind w:left="820" w:right="1800"/>
        <w:jc w:val="both"/>
        <w:rPr>
          <w:sz w:val="20"/>
          <w:szCs w:val="20"/>
        </w:rPr>
      </w:pPr>
      <w:r>
        <w:rPr>
          <w:rFonts w:eastAsia="Times New Roman"/>
          <w:sz w:val="24"/>
          <w:szCs w:val="24"/>
        </w:rPr>
        <w:t>Ahora bien, si retomamos la incapacidad de las sociedades de cuestionarse las bases de la legitimidad del poder que les oprime, se puede plantear que el alto número de rechazos se debe a que las mujeres víctimas de violencia terminan por reti</w:t>
      </w:r>
      <w:r>
        <w:rPr>
          <w:rFonts w:eastAsia="Times New Roman"/>
          <w:sz w:val="24"/>
          <w:szCs w:val="24"/>
        </w:rPr>
        <w:t xml:space="preserve">rar los cargos por múltiples razones (pasa mucho tiempo entre la presentación de la denuncia y las indagaciones, miedo al agresor, dependencia económica) y el Ministerio Público, en lugar de cuestionar las razones estructurales del retiro de las denuncias </w:t>
      </w:r>
      <w:r>
        <w:rPr>
          <w:rFonts w:eastAsia="Times New Roman"/>
          <w:sz w:val="24"/>
          <w:szCs w:val="24"/>
        </w:rPr>
        <w:t>y de manera proactiva continuar con los casos, dan por cerrados los procesos sin importar que existan otras pruebas para lograr una condena (partes policiales de agresión, registros médicos de la víctima, prueba testimonial de terceras personas, entre otro</w:t>
      </w:r>
      <w:r>
        <w:rPr>
          <w:rFonts w:eastAsia="Times New Roman"/>
          <w:sz w:val="24"/>
          <w:szCs w:val="24"/>
        </w:rPr>
        <w:t>s). En este sentido, el concepto violencia simbólica se vuelve vital para entender que, en un sistema de justicia todavía patriarcal, las denuncias de violencia contra las mujeres sean consideradas temas de segunda categoría en relación con otros casos pen</w:t>
      </w:r>
      <w:r>
        <w:rPr>
          <w:rFonts w:eastAsia="Times New Roman"/>
          <w:sz w:val="24"/>
          <w:szCs w:val="24"/>
        </w:rPr>
        <w:t>ales.</w:t>
      </w:r>
      <w:r>
        <w:rPr>
          <w:rFonts w:eastAsia="Times New Roman"/>
          <w:sz w:val="31"/>
          <w:szCs w:val="31"/>
          <w:vertAlign w:val="superscript"/>
        </w:rPr>
        <w:t>6</w:t>
      </w:r>
    </w:p>
    <w:p w14:paraId="78AE9A57" w14:textId="77777777" w:rsidR="00EF26BC" w:rsidRDefault="00EF26BC">
      <w:pPr>
        <w:spacing w:line="135" w:lineRule="exact"/>
        <w:rPr>
          <w:sz w:val="20"/>
          <w:szCs w:val="20"/>
        </w:rPr>
      </w:pPr>
    </w:p>
    <w:p w14:paraId="78AE9A58" w14:textId="77777777" w:rsidR="00EF26BC" w:rsidRDefault="00343DF1">
      <w:pPr>
        <w:spacing w:line="245" w:lineRule="auto"/>
        <w:ind w:left="820" w:right="1800"/>
        <w:jc w:val="both"/>
        <w:rPr>
          <w:sz w:val="20"/>
          <w:szCs w:val="20"/>
        </w:rPr>
      </w:pPr>
      <w:r>
        <w:rPr>
          <w:rFonts w:eastAsia="Times New Roman"/>
          <w:sz w:val="24"/>
          <w:szCs w:val="24"/>
        </w:rPr>
        <w:t>La situación de violencia contra las mujeres no cambia favorablemente cuando los datos son agrupados de acuerdo con la provincia donde se denuncia la infracción por violencia doméstica. Históricamente, la provincia de San José sigue ocupando los pr</w:t>
      </w:r>
      <w:r>
        <w:rPr>
          <w:rFonts w:eastAsia="Times New Roman"/>
          <w:sz w:val="24"/>
          <w:szCs w:val="24"/>
        </w:rPr>
        <w:t>imeros puestos junto con Alajuela, Puntarenas y Guanacaste, pero si el análisis se realiza por medio de una tasa por cada 1.000 habitantes, los datos varían, con Puntarenas en primer lugar con una tasa de 15.76, Guanacaste con 14.30 y Alajuela con 9.22, de</w:t>
      </w:r>
      <w:r>
        <w:rPr>
          <w:rFonts w:eastAsia="Times New Roman"/>
          <w:sz w:val="24"/>
          <w:szCs w:val="24"/>
        </w:rPr>
        <w:t xml:space="preserve">jando a San José y Cartago como las provincias con menor incidencia, lo cual coincide, en el caso de Puntarenas y Alajuela, con provincias con mayor cantidad de casos femicidios (Ver </w:t>
      </w:r>
      <w:r>
        <w:rPr>
          <w:rFonts w:eastAsia="Times New Roman"/>
          <w:b/>
          <w:bCs/>
          <w:sz w:val="24"/>
          <w:szCs w:val="24"/>
        </w:rPr>
        <w:t>mapa N°1</w:t>
      </w:r>
      <w:r>
        <w:rPr>
          <w:rFonts w:eastAsia="Times New Roman"/>
          <w:sz w:val="24"/>
          <w:szCs w:val="24"/>
        </w:rPr>
        <w:t>).</w:t>
      </w:r>
    </w:p>
    <w:p w14:paraId="78AE9A59" w14:textId="77777777" w:rsidR="00EF26BC" w:rsidRDefault="00343DF1">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78AE9C49" wp14:editId="78AE9C4A">
                <wp:simplePos x="0" y="0"/>
                <wp:positionH relativeFrom="column">
                  <wp:posOffset>523875</wp:posOffset>
                </wp:positionH>
                <wp:positionV relativeFrom="paragraph">
                  <wp:posOffset>1865630</wp:posOffset>
                </wp:positionV>
                <wp:extent cx="18288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575CC99" id="Shape 1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1.25pt,146.9pt" to="185.2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" o:allowincell="f" filled="t" strokeweight=".72pt">
                <v:stroke joinstyle="miter"/>
                <o:lock v:ext="edit" shapetype="f"/>
              </v:line>
            </w:pict>
          </mc:Fallback>
        </mc:AlternateContent>
      </w:r>
    </w:p>
    <w:p w14:paraId="78AE9A5A" w14:textId="77777777" w:rsidR="00EF26BC" w:rsidRDefault="00EF26BC">
      <w:pPr>
        <w:spacing w:line="200" w:lineRule="exact"/>
        <w:rPr>
          <w:sz w:val="20"/>
          <w:szCs w:val="20"/>
        </w:rPr>
      </w:pPr>
    </w:p>
    <w:p w14:paraId="78AE9A5B" w14:textId="77777777" w:rsidR="00EF26BC" w:rsidRDefault="00EF26BC">
      <w:pPr>
        <w:spacing w:line="200" w:lineRule="exact"/>
        <w:rPr>
          <w:sz w:val="20"/>
          <w:szCs w:val="20"/>
        </w:rPr>
      </w:pPr>
    </w:p>
    <w:p w14:paraId="78AE9A5C" w14:textId="77777777" w:rsidR="00EF26BC" w:rsidRDefault="00EF26BC">
      <w:pPr>
        <w:spacing w:line="200" w:lineRule="exact"/>
        <w:rPr>
          <w:sz w:val="20"/>
          <w:szCs w:val="20"/>
        </w:rPr>
      </w:pPr>
    </w:p>
    <w:p w14:paraId="78AE9A5D" w14:textId="77777777" w:rsidR="00EF26BC" w:rsidRDefault="00EF26BC">
      <w:pPr>
        <w:spacing w:line="200" w:lineRule="exact"/>
        <w:rPr>
          <w:sz w:val="20"/>
          <w:szCs w:val="20"/>
        </w:rPr>
      </w:pPr>
    </w:p>
    <w:p w14:paraId="78AE9A5E" w14:textId="77777777" w:rsidR="00EF26BC" w:rsidRDefault="00EF26BC">
      <w:pPr>
        <w:spacing w:line="200" w:lineRule="exact"/>
        <w:rPr>
          <w:sz w:val="20"/>
          <w:szCs w:val="20"/>
        </w:rPr>
      </w:pPr>
    </w:p>
    <w:p w14:paraId="78AE9A5F" w14:textId="77777777" w:rsidR="00EF26BC" w:rsidRDefault="00EF26BC">
      <w:pPr>
        <w:spacing w:line="200" w:lineRule="exact"/>
        <w:rPr>
          <w:sz w:val="20"/>
          <w:szCs w:val="20"/>
        </w:rPr>
      </w:pPr>
    </w:p>
    <w:p w14:paraId="78AE9A60" w14:textId="77777777" w:rsidR="00EF26BC" w:rsidRDefault="00EF26BC">
      <w:pPr>
        <w:spacing w:line="200" w:lineRule="exact"/>
        <w:rPr>
          <w:sz w:val="20"/>
          <w:szCs w:val="20"/>
        </w:rPr>
      </w:pPr>
    </w:p>
    <w:p w14:paraId="78AE9A61" w14:textId="77777777" w:rsidR="00EF26BC" w:rsidRDefault="00EF26BC">
      <w:pPr>
        <w:spacing w:line="200" w:lineRule="exact"/>
        <w:rPr>
          <w:sz w:val="20"/>
          <w:szCs w:val="20"/>
        </w:rPr>
      </w:pPr>
    </w:p>
    <w:p w14:paraId="78AE9A62" w14:textId="77777777" w:rsidR="00EF26BC" w:rsidRDefault="00EF26BC">
      <w:pPr>
        <w:spacing w:line="200" w:lineRule="exact"/>
        <w:rPr>
          <w:sz w:val="20"/>
          <w:szCs w:val="20"/>
        </w:rPr>
      </w:pPr>
    </w:p>
    <w:p w14:paraId="78AE9A63" w14:textId="77777777" w:rsidR="00EF26BC" w:rsidRDefault="00EF26BC">
      <w:pPr>
        <w:spacing w:line="200" w:lineRule="exact"/>
        <w:rPr>
          <w:sz w:val="20"/>
          <w:szCs w:val="20"/>
        </w:rPr>
      </w:pPr>
    </w:p>
    <w:p w14:paraId="78AE9A64" w14:textId="77777777" w:rsidR="00EF26BC" w:rsidRDefault="00EF26BC">
      <w:pPr>
        <w:spacing w:line="200" w:lineRule="exact"/>
        <w:rPr>
          <w:sz w:val="20"/>
          <w:szCs w:val="20"/>
        </w:rPr>
      </w:pPr>
    </w:p>
    <w:p w14:paraId="78AE9A65" w14:textId="77777777" w:rsidR="00EF26BC" w:rsidRDefault="00EF26BC">
      <w:pPr>
        <w:spacing w:line="200" w:lineRule="exact"/>
        <w:rPr>
          <w:sz w:val="20"/>
          <w:szCs w:val="20"/>
        </w:rPr>
      </w:pPr>
    </w:p>
    <w:p w14:paraId="78AE9A66" w14:textId="77777777" w:rsidR="00EF26BC" w:rsidRDefault="00EF26BC">
      <w:pPr>
        <w:spacing w:line="200" w:lineRule="exact"/>
        <w:rPr>
          <w:sz w:val="20"/>
          <w:szCs w:val="20"/>
        </w:rPr>
      </w:pPr>
    </w:p>
    <w:p w14:paraId="78AE9A67" w14:textId="77777777" w:rsidR="00EF26BC" w:rsidRDefault="00EF26BC">
      <w:pPr>
        <w:spacing w:line="200" w:lineRule="exact"/>
        <w:rPr>
          <w:sz w:val="20"/>
          <w:szCs w:val="20"/>
        </w:rPr>
      </w:pPr>
    </w:p>
    <w:p w14:paraId="78AE9A68" w14:textId="77777777" w:rsidR="00EF26BC" w:rsidRDefault="00EF26BC">
      <w:pPr>
        <w:spacing w:line="200" w:lineRule="exact"/>
        <w:rPr>
          <w:sz w:val="20"/>
          <w:szCs w:val="20"/>
        </w:rPr>
      </w:pPr>
    </w:p>
    <w:p w14:paraId="78AE9A69" w14:textId="77777777" w:rsidR="00EF26BC" w:rsidRDefault="00EF26BC">
      <w:pPr>
        <w:spacing w:line="322" w:lineRule="exact"/>
        <w:rPr>
          <w:sz w:val="20"/>
          <w:szCs w:val="20"/>
        </w:rPr>
      </w:pPr>
    </w:p>
    <w:p w14:paraId="78AE9A6A" w14:textId="77777777" w:rsidR="00EF26BC" w:rsidRDefault="00343DF1">
      <w:pPr>
        <w:numPr>
          <w:ilvl w:val="0"/>
          <w:numId w:val="8"/>
        </w:numPr>
        <w:tabs>
          <w:tab w:val="left" w:pos="961"/>
        </w:tabs>
        <w:spacing w:line="228" w:lineRule="auto"/>
        <w:ind w:left="820" w:right="1780" w:firstLine="6"/>
        <w:jc w:val="both"/>
        <w:rPr>
          <w:rFonts w:eastAsia="Times New Roman"/>
          <w:sz w:val="32"/>
          <w:szCs w:val="32"/>
          <w:vertAlign w:val="superscript"/>
        </w:rPr>
      </w:pPr>
      <w:r>
        <w:rPr>
          <w:rFonts w:eastAsia="Times New Roman"/>
          <w:sz w:val="21"/>
          <w:szCs w:val="21"/>
        </w:rPr>
        <w:t xml:space="preserve">Como bien lo plantea Monserrat Sagot </w:t>
      </w:r>
      <w:r>
        <w:rPr>
          <w:rFonts w:eastAsia="Times New Roman"/>
          <w:sz w:val="21"/>
          <w:szCs w:val="21"/>
        </w:rPr>
        <w:t>(1995) todo sistema de dominación se compone de dos elementos, su estructura y su ideología. El componente de la estructura se manifiesta en la organización jerárquica de las instituciones y de las relaciones sociales, en este caso el Poder Judicial repres</w:t>
      </w:r>
      <w:r>
        <w:rPr>
          <w:rFonts w:eastAsia="Times New Roman"/>
          <w:sz w:val="21"/>
          <w:szCs w:val="21"/>
        </w:rPr>
        <w:t>entado en el Ministerio Público y la ideología es el medio de apoyo del principio del orden jerárquico, es la racionalización de la desigualdad que no coloca a la violencia contra las mujeres en el centro del quehacer judicial.</w:t>
      </w:r>
    </w:p>
    <w:p w14:paraId="78AE9A6B" w14:textId="77777777" w:rsidR="00EF26BC" w:rsidRDefault="00EF26BC">
      <w:pPr>
        <w:spacing w:line="200" w:lineRule="exact"/>
        <w:rPr>
          <w:sz w:val="20"/>
          <w:szCs w:val="20"/>
        </w:rPr>
      </w:pPr>
    </w:p>
    <w:p w14:paraId="78AE9A6C" w14:textId="77777777" w:rsidR="00EF26BC" w:rsidRDefault="00EF26BC">
      <w:pPr>
        <w:spacing w:line="200" w:lineRule="exact"/>
        <w:rPr>
          <w:sz w:val="20"/>
          <w:szCs w:val="20"/>
        </w:rPr>
      </w:pPr>
    </w:p>
    <w:p w14:paraId="78AE9A6D" w14:textId="77777777" w:rsidR="00EF26BC" w:rsidRDefault="00EF26BC">
      <w:pPr>
        <w:spacing w:line="200" w:lineRule="exact"/>
        <w:rPr>
          <w:sz w:val="20"/>
          <w:szCs w:val="20"/>
        </w:rPr>
      </w:pPr>
    </w:p>
    <w:p w14:paraId="78AE9A6E" w14:textId="77777777" w:rsidR="00EF26BC" w:rsidRDefault="00EF26BC">
      <w:pPr>
        <w:spacing w:line="224"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A72" w14:textId="77777777">
        <w:trPr>
          <w:trHeight w:val="240"/>
        </w:trPr>
        <w:tc>
          <w:tcPr>
            <w:tcW w:w="6920" w:type="dxa"/>
            <w:vAlign w:val="bottom"/>
          </w:tcPr>
          <w:p w14:paraId="78AE9A6F" w14:textId="77777777" w:rsidR="00EF26BC" w:rsidRDefault="00343DF1">
            <w:pPr>
              <w:ind w:right="1099"/>
              <w:jc w:val="center"/>
              <w:rPr>
                <w:sz w:val="20"/>
                <w:szCs w:val="20"/>
              </w:rPr>
            </w:pPr>
            <w:r>
              <w:rPr>
                <w:rFonts w:ascii="Arial" w:eastAsia="Arial" w:hAnsi="Arial" w:cs="Arial"/>
                <w:w w:val="96"/>
                <w:sz w:val="20"/>
                <w:szCs w:val="20"/>
              </w:rPr>
              <w:t>Anuario del Centro de In</w:t>
            </w:r>
            <w:r>
              <w:rPr>
                <w:rFonts w:ascii="Arial" w:eastAsia="Arial" w:hAnsi="Arial" w:cs="Arial"/>
                <w:w w:val="96"/>
                <w:sz w:val="20"/>
                <w:szCs w:val="20"/>
              </w:rPr>
              <w:t>vestigación y Estudios Políticos</w:t>
            </w:r>
          </w:p>
        </w:tc>
        <w:tc>
          <w:tcPr>
            <w:tcW w:w="1580" w:type="dxa"/>
            <w:vMerge w:val="restart"/>
            <w:vAlign w:val="bottom"/>
          </w:tcPr>
          <w:p w14:paraId="78AE9A70" w14:textId="77777777" w:rsidR="00EF26BC" w:rsidRDefault="00343DF1">
            <w:pPr>
              <w:jc w:val="right"/>
              <w:rPr>
                <w:sz w:val="20"/>
                <w:szCs w:val="20"/>
              </w:rPr>
            </w:pPr>
            <w:r>
              <w:rPr>
                <w:rFonts w:ascii="Arial" w:eastAsia="Arial" w:hAnsi="Arial" w:cs="Arial"/>
              </w:rPr>
              <w:t>107</w:t>
            </w:r>
          </w:p>
        </w:tc>
        <w:tc>
          <w:tcPr>
            <w:tcW w:w="0" w:type="dxa"/>
            <w:vAlign w:val="bottom"/>
          </w:tcPr>
          <w:p w14:paraId="78AE9A71" w14:textId="77777777" w:rsidR="00EF26BC" w:rsidRDefault="00EF26BC">
            <w:pPr>
              <w:rPr>
                <w:sz w:val="1"/>
                <w:szCs w:val="1"/>
              </w:rPr>
            </w:pPr>
          </w:p>
        </w:tc>
      </w:tr>
      <w:tr w:rsidR="00EF26BC" w14:paraId="78AE9A76" w14:textId="77777777">
        <w:trPr>
          <w:trHeight w:val="260"/>
        </w:trPr>
        <w:tc>
          <w:tcPr>
            <w:tcW w:w="6920" w:type="dxa"/>
            <w:vAlign w:val="bottom"/>
          </w:tcPr>
          <w:p w14:paraId="78AE9A73"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A74" w14:textId="77777777" w:rsidR="00EF26BC" w:rsidRDefault="00EF26BC"/>
        </w:tc>
        <w:tc>
          <w:tcPr>
            <w:tcW w:w="0" w:type="dxa"/>
            <w:vAlign w:val="bottom"/>
          </w:tcPr>
          <w:p w14:paraId="78AE9A75" w14:textId="77777777" w:rsidR="00EF26BC" w:rsidRDefault="00EF26BC">
            <w:pPr>
              <w:rPr>
                <w:sz w:val="1"/>
                <w:szCs w:val="1"/>
              </w:rPr>
            </w:pPr>
          </w:p>
        </w:tc>
      </w:tr>
    </w:tbl>
    <w:p w14:paraId="78AE9A77" w14:textId="77777777" w:rsidR="00EF26BC" w:rsidRDefault="00EF26BC">
      <w:pPr>
        <w:sectPr w:rsidR="00EF26BC">
          <w:pgSz w:w="12240" w:h="15840"/>
          <w:pgMar w:top="714" w:right="480" w:bottom="121" w:left="1440" w:header="0" w:footer="0" w:gutter="0"/>
          <w:cols w:space="720" w:equalWidth="0">
            <w:col w:w="10320"/>
          </w:cols>
        </w:sectPr>
      </w:pPr>
    </w:p>
    <w:p w14:paraId="78AE9A78" w14:textId="77777777" w:rsidR="00EF26BC" w:rsidRDefault="00343DF1">
      <w:pPr>
        <w:ind w:left="3700"/>
        <w:rPr>
          <w:sz w:val="20"/>
          <w:szCs w:val="20"/>
        </w:rPr>
      </w:pPr>
      <w:bookmarkStart w:id="19" w:name="page20"/>
      <w:bookmarkEnd w:id="19"/>
      <w:r>
        <w:rPr>
          <w:rFonts w:ascii="Arial" w:eastAsia="Arial" w:hAnsi="Arial" w:cs="Arial"/>
          <w:sz w:val="20"/>
          <w:szCs w:val="20"/>
        </w:rPr>
        <w:lastRenderedPageBreak/>
        <w:t>Marcela Piedra Durán</w:t>
      </w:r>
    </w:p>
    <w:p w14:paraId="78AE9A79" w14:textId="77777777" w:rsidR="00EF26BC" w:rsidRDefault="00EF26BC">
      <w:pPr>
        <w:spacing w:line="200" w:lineRule="exact"/>
        <w:rPr>
          <w:sz w:val="20"/>
          <w:szCs w:val="20"/>
        </w:rPr>
      </w:pPr>
    </w:p>
    <w:p w14:paraId="78AE9A7A" w14:textId="77777777" w:rsidR="00EF26BC" w:rsidRDefault="00EF26BC">
      <w:pPr>
        <w:spacing w:line="331" w:lineRule="exact"/>
        <w:rPr>
          <w:sz w:val="20"/>
          <w:szCs w:val="20"/>
        </w:rPr>
      </w:pPr>
    </w:p>
    <w:p w14:paraId="78AE9A7B" w14:textId="77777777" w:rsidR="00EF26BC" w:rsidRDefault="00343DF1">
      <w:pPr>
        <w:ind w:right="980"/>
        <w:jc w:val="center"/>
        <w:rPr>
          <w:sz w:val="20"/>
          <w:szCs w:val="20"/>
        </w:rPr>
      </w:pPr>
      <w:r>
        <w:rPr>
          <w:rFonts w:eastAsia="Times New Roman"/>
          <w:b/>
          <w:bCs/>
        </w:rPr>
        <w:t>Figura 1.</w:t>
      </w:r>
    </w:p>
    <w:p w14:paraId="78AE9A7C" w14:textId="77777777" w:rsidR="00EF26BC" w:rsidRDefault="00EF26BC">
      <w:pPr>
        <w:spacing w:line="37" w:lineRule="exact"/>
        <w:rPr>
          <w:sz w:val="20"/>
          <w:szCs w:val="20"/>
        </w:rPr>
      </w:pPr>
    </w:p>
    <w:p w14:paraId="78AE9A7D" w14:textId="77777777" w:rsidR="00EF26BC" w:rsidRDefault="00343DF1">
      <w:pPr>
        <w:spacing w:line="275" w:lineRule="auto"/>
        <w:ind w:left="1380" w:right="2260" w:hanging="61"/>
        <w:rPr>
          <w:sz w:val="20"/>
          <w:szCs w:val="20"/>
        </w:rPr>
      </w:pPr>
      <w:r>
        <w:rPr>
          <w:rFonts w:eastAsia="Times New Roman"/>
          <w:b/>
          <w:bCs/>
          <w:sz w:val="21"/>
          <w:szCs w:val="21"/>
        </w:rPr>
        <w:t xml:space="preserve">Mapa de denuncias por número de casos y tasa por 1.000 habitantes por Violencia Doméstica por </w:t>
      </w:r>
      <w:r>
        <w:rPr>
          <w:rFonts w:eastAsia="Times New Roman"/>
          <w:b/>
          <w:bCs/>
          <w:sz w:val="21"/>
          <w:szCs w:val="21"/>
        </w:rPr>
        <w:t>Provincia en Costa Rica para el periodo 2018</w:t>
      </w:r>
    </w:p>
    <w:p w14:paraId="78AE9A7E" w14:textId="77777777" w:rsidR="00EF26BC" w:rsidRDefault="00EF26BC">
      <w:pPr>
        <w:spacing w:line="200" w:lineRule="exact"/>
        <w:rPr>
          <w:sz w:val="20"/>
          <w:szCs w:val="20"/>
        </w:rPr>
      </w:pPr>
    </w:p>
    <w:p w14:paraId="78AE9A7F" w14:textId="77777777" w:rsidR="00EF26BC" w:rsidRDefault="00EF26BC">
      <w:pPr>
        <w:spacing w:line="323" w:lineRule="exact"/>
        <w:rPr>
          <w:sz w:val="20"/>
          <w:szCs w:val="20"/>
        </w:rPr>
      </w:pPr>
    </w:p>
    <w:p w14:paraId="78AE9A80" w14:textId="77777777" w:rsidR="00EF26BC" w:rsidRDefault="00343DF1">
      <w:pPr>
        <w:tabs>
          <w:tab w:val="left" w:pos="5780"/>
        </w:tabs>
        <w:ind w:left="1600"/>
        <w:rPr>
          <w:sz w:val="20"/>
          <w:szCs w:val="20"/>
        </w:rPr>
      </w:pPr>
      <w:r>
        <w:rPr>
          <w:rFonts w:ascii="Calibri" w:eastAsia="Calibri" w:hAnsi="Calibri" w:cs="Calibri"/>
          <w:b/>
          <w:bCs/>
          <w:sz w:val="18"/>
          <w:szCs w:val="18"/>
        </w:rPr>
        <w:t>Denuncias por Violencia Doméstica y</w:t>
      </w:r>
      <w:r>
        <w:rPr>
          <w:sz w:val="20"/>
          <w:szCs w:val="20"/>
        </w:rPr>
        <w:tab/>
      </w:r>
      <w:r>
        <w:rPr>
          <w:rFonts w:ascii="Calibri" w:eastAsia="Calibri" w:hAnsi="Calibri" w:cs="Calibri"/>
          <w:b/>
          <w:bCs/>
          <w:sz w:val="18"/>
          <w:szCs w:val="18"/>
        </w:rPr>
        <w:t>Tasa de Violencia Doméstica por 1.000</w:t>
      </w:r>
    </w:p>
    <w:p w14:paraId="78AE9A81" w14:textId="77777777" w:rsidR="00EF26BC" w:rsidRDefault="00343DF1">
      <w:pPr>
        <w:tabs>
          <w:tab w:val="left" w:pos="6320"/>
        </w:tabs>
        <w:ind w:left="2080"/>
        <w:rPr>
          <w:sz w:val="20"/>
          <w:szCs w:val="20"/>
        </w:rPr>
      </w:pPr>
      <w:r>
        <w:rPr>
          <w:rFonts w:ascii="Calibri" w:eastAsia="Calibri" w:hAnsi="Calibri" w:cs="Calibri"/>
          <w:b/>
          <w:bCs/>
          <w:sz w:val="18"/>
          <w:szCs w:val="18"/>
        </w:rPr>
        <w:t>femicidios por Provincia</w:t>
      </w:r>
      <w:r>
        <w:rPr>
          <w:sz w:val="20"/>
          <w:szCs w:val="20"/>
        </w:rPr>
        <w:tab/>
      </w:r>
      <w:r>
        <w:rPr>
          <w:rFonts w:ascii="Calibri" w:eastAsia="Calibri" w:hAnsi="Calibri" w:cs="Calibri"/>
          <w:b/>
          <w:bCs/>
          <w:sz w:val="18"/>
          <w:szCs w:val="18"/>
        </w:rPr>
        <w:t>habitantes por Provincia</w:t>
      </w:r>
    </w:p>
    <w:p w14:paraId="78AE9A82" w14:textId="77777777" w:rsidR="00EF26BC" w:rsidRDefault="00343DF1">
      <w:pPr>
        <w:spacing w:line="20" w:lineRule="exact"/>
        <w:rPr>
          <w:sz w:val="20"/>
          <w:szCs w:val="20"/>
        </w:rPr>
      </w:pPr>
      <w:r>
        <w:rPr>
          <w:noProof/>
          <w:sz w:val="20"/>
          <w:szCs w:val="20"/>
        </w:rPr>
        <w:drawing>
          <wp:anchor distT="0" distB="0" distL="114300" distR="114300" simplePos="0" relativeHeight="251664384" behindDoc="1" locked="0" layoutInCell="0" allowOverlap="1" wp14:anchorId="78AE9C4B" wp14:editId="78AE9C4C">
            <wp:simplePos x="0" y="0"/>
            <wp:positionH relativeFrom="column">
              <wp:posOffset>575945</wp:posOffset>
            </wp:positionH>
            <wp:positionV relativeFrom="paragraph">
              <wp:posOffset>45085</wp:posOffset>
            </wp:positionV>
            <wp:extent cx="5527675" cy="1822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5527675" cy="1822450"/>
                    </a:xfrm>
                    <a:prstGeom prst="rect">
                      <a:avLst/>
                    </a:prstGeom>
                    <a:noFill/>
                  </pic:spPr>
                </pic:pic>
              </a:graphicData>
            </a:graphic>
          </wp:anchor>
        </w:drawing>
      </w:r>
    </w:p>
    <w:p w14:paraId="78AE9A83" w14:textId="77777777" w:rsidR="00EF26BC" w:rsidRDefault="00EF26BC">
      <w:pPr>
        <w:spacing w:line="200" w:lineRule="exact"/>
        <w:rPr>
          <w:sz w:val="20"/>
          <w:szCs w:val="20"/>
        </w:rPr>
      </w:pPr>
    </w:p>
    <w:p w14:paraId="78AE9A84" w14:textId="77777777" w:rsidR="00EF26BC" w:rsidRDefault="00EF26BC">
      <w:pPr>
        <w:spacing w:line="200" w:lineRule="exact"/>
        <w:rPr>
          <w:sz w:val="20"/>
          <w:szCs w:val="20"/>
        </w:rPr>
      </w:pPr>
    </w:p>
    <w:p w14:paraId="78AE9A85" w14:textId="77777777" w:rsidR="00EF26BC" w:rsidRDefault="00EF26BC">
      <w:pPr>
        <w:spacing w:line="212" w:lineRule="exact"/>
        <w:rPr>
          <w:sz w:val="20"/>
          <w:szCs w:val="20"/>
        </w:rPr>
      </w:pPr>
    </w:p>
    <w:p w14:paraId="78AE9A86" w14:textId="77777777" w:rsidR="00EF26BC" w:rsidRDefault="00343DF1">
      <w:pPr>
        <w:ind w:left="5540"/>
        <w:rPr>
          <w:sz w:val="20"/>
          <w:szCs w:val="20"/>
        </w:rPr>
      </w:pPr>
      <w:r>
        <w:rPr>
          <w:rFonts w:ascii="Arial" w:eastAsia="Arial" w:hAnsi="Arial" w:cs="Arial"/>
          <w:sz w:val="26"/>
          <w:szCs w:val="26"/>
        </w:rPr>
        <w:t xml:space="preserve">• </w:t>
      </w:r>
      <w:r>
        <w:rPr>
          <w:rFonts w:ascii="Calibri" w:eastAsia="Calibri" w:hAnsi="Calibri" w:cs="Calibri"/>
          <w:sz w:val="26"/>
          <w:szCs w:val="26"/>
        </w:rPr>
        <w:t>vv</w:t>
      </w:r>
    </w:p>
    <w:p w14:paraId="78AE9A87" w14:textId="77777777" w:rsidR="00EF26BC" w:rsidRDefault="00EF26BC">
      <w:pPr>
        <w:sectPr w:rsidR="00EF26BC">
          <w:pgSz w:w="12240" w:h="15840"/>
          <w:pgMar w:top="714" w:right="460" w:bottom="112" w:left="1440" w:header="0" w:footer="0" w:gutter="0"/>
          <w:cols w:space="720" w:equalWidth="0">
            <w:col w:w="10340"/>
          </w:cols>
        </w:sectPr>
      </w:pPr>
    </w:p>
    <w:p w14:paraId="78AE9A88" w14:textId="77777777" w:rsidR="00EF26BC" w:rsidRDefault="00EF26BC">
      <w:pPr>
        <w:spacing w:line="200" w:lineRule="exact"/>
        <w:rPr>
          <w:sz w:val="20"/>
          <w:szCs w:val="20"/>
        </w:rPr>
      </w:pPr>
    </w:p>
    <w:p w14:paraId="78AE9A89" w14:textId="77777777" w:rsidR="00EF26BC" w:rsidRDefault="00EF26BC">
      <w:pPr>
        <w:spacing w:line="200" w:lineRule="exact"/>
        <w:rPr>
          <w:sz w:val="20"/>
          <w:szCs w:val="20"/>
        </w:rPr>
      </w:pPr>
    </w:p>
    <w:p w14:paraId="78AE9A8A" w14:textId="77777777" w:rsidR="00EF26BC" w:rsidRDefault="00EF26BC">
      <w:pPr>
        <w:spacing w:line="200" w:lineRule="exact"/>
        <w:rPr>
          <w:sz w:val="20"/>
          <w:szCs w:val="20"/>
        </w:rPr>
      </w:pPr>
    </w:p>
    <w:p w14:paraId="78AE9A8B" w14:textId="77777777" w:rsidR="00EF26BC" w:rsidRDefault="00EF26BC">
      <w:pPr>
        <w:spacing w:line="200" w:lineRule="exact"/>
        <w:rPr>
          <w:sz w:val="20"/>
          <w:szCs w:val="20"/>
        </w:rPr>
      </w:pPr>
    </w:p>
    <w:p w14:paraId="78AE9A8C" w14:textId="77777777" w:rsidR="00EF26BC" w:rsidRDefault="00EF26BC">
      <w:pPr>
        <w:spacing w:line="200" w:lineRule="exact"/>
        <w:rPr>
          <w:sz w:val="20"/>
          <w:szCs w:val="20"/>
        </w:rPr>
      </w:pPr>
    </w:p>
    <w:p w14:paraId="78AE9A8D" w14:textId="77777777" w:rsidR="00EF26BC" w:rsidRDefault="00EF26BC">
      <w:pPr>
        <w:spacing w:line="200" w:lineRule="exact"/>
        <w:rPr>
          <w:sz w:val="20"/>
          <w:szCs w:val="20"/>
        </w:rPr>
      </w:pPr>
    </w:p>
    <w:p w14:paraId="78AE9A8E" w14:textId="77777777" w:rsidR="00EF26BC" w:rsidRDefault="00EF26BC">
      <w:pPr>
        <w:spacing w:line="200" w:lineRule="exact"/>
        <w:rPr>
          <w:sz w:val="20"/>
          <w:szCs w:val="20"/>
        </w:rPr>
      </w:pPr>
    </w:p>
    <w:p w14:paraId="78AE9A8F" w14:textId="77777777" w:rsidR="00EF26BC" w:rsidRDefault="00EF26BC">
      <w:pPr>
        <w:spacing w:line="200" w:lineRule="exact"/>
        <w:rPr>
          <w:sz w:val="20"/>
          <w:szCs w:val="20"/>
        </w:rPr>
      </w:pPr>
    </w:p>
    <w:p w14:paraId="78AE9A90" w14:textId="77777777" w:rsidR="00EF26BC" w:rsidRDefault="00EF26BC">
      <w:pPr>
        <w:spacing w:line="363" w:lineRule="exact"/>
        <w:rPr>
          <w:sz w:val="20"/>
          <w:szCs w:val="20"/>
        </w:rPr>
      </w:pPr>
    </w:p>
    <w:tbl>
      <w:tblPr>
        <w:tblW w:w="0" w:type="auto"/>
        <w:tblInd w:w="1890" w:type="dxa"/>
        <w:tblLayout w:type="fixed"/>
        <w:tblCellMar>
          <w:left w:w="0" w:type="dxa"/>
          <w:right w:w="0" w:type="dxa"/>
        </w:tblCellMar>
        <w:tblLook w:val="04A0" w:firstRow="1" w:lastRow="0" w:firstColumn="1" w:lastColumn="0" w:noHBand="0" w:noVBand="1"/>
      </w:tblPr>
      <w:tblGrid>
        <w:gridCol w:w="680"/>
        <w:gridCol w:w="1200"/>
        <w:gridCol w:w="660"/>
        <w:gridCol w:w="30"/>
      </w:tblGrid>
      <w:tr w:rsidR="00EF26BC" w14:paraId="78AE9A95" w14:textId="77777777">
        <w:trPr>
          <w:trHeight w:val="120"/>
        </w:trPr>
        <w:tc>
          <w:tcPr>
            <w:tcW w:w="680" w:type="dxa"/>
            <w:vMerge w:val="restart"/>
            <w:tcBorders>
              <w:top w:val="single" w:sz="8" w:space="0" w:color="auto"/>
              <w:left w:val="single" w:sz="8" w:space="0" w:color="auto"/>
              <w:right w:val="single" w:sz="8" w:space="0" w:color="auto"/>
            </w:tcBorders>
            <w:vAlign w:val="bottom"/>
          </w:tcPr>
          <w:p w14:paraId="78AE9A91" w14:textId="77777777" w:rsidR="00EF26BC" w:rsidRDefault="00343DF1">
            <w:pPr>
              <w:ind w:left="120"/>
              <w:rPr>
                <w:sz w:val="20"/>
                <w:szCs w:val="20"/>
              </w:rPr>
            </w:pPr>
            <w:r>
              <w:rPr>
                <w:rFonts w:ascii="Arial" w:eastAsia="Arial" w:hAnsi="Arial" w:cs="Arial"/>
                <w:b/>
                <w:bCs/>
                <w:sz w:val="10"/>
                <w:szCs w:val="10"/>
              </w:rPr>
              <w:t>Provincia</w:t>
            </w:r>
          </w:p>
        </w:tc>
        <w:tc>
          <w:tcPr>
            <w:tcW w:w="1200" w:type="dxa"/>
            <w:tcBorders>
              <w:top w:val="single" w:sz="8" w:space="0" w:color="auto"/>
              <w:right w:val="single" w:sz="8" w:space="0" w:color="auto"/>
            </w:tcBorders>
            <w:vAlign w:val="bottom"/>
          </w:tcPr>
          <w:p w14:paraId="78AE9A92" w14:textId="77777777" w:rsidR="00EF26BC" w:rsidRDefault="00343DF1">
            <w:pPr>
              <w:jc w:val="center"/>
              <w:rPr>
                <w:sz w:val="20"/>
                <w:szCs w:val="20"/>
              </w:rPr>
            </w:pPr>
            <w:r>
              <w:rPr>
                <w:rFonts w:ascii="Arial" w:eastAsia="Arial" w:hAnsi="Arial" w:cs="Arial"/>
                <w:b/>
                <w:bCs/>
                <w:sz w:val="10"/>
                <w:szCs w:val="10"/>
              </w:rPr>
              <w:t>Total denuncias</w:t>
            </w:r>
          </w:p>
        </w:tc>
        <w:tc>
          <w:tcPr>
            <w:tcW w:w="660" w:type="dxa"/>
            <w:vMerge w:val="restart"/>
            <w:tcBorders>
              <w:top w:val="single" w:sz="8" w:space="0" w:color="auto"/>
              <w:right w:val="single" w:sz="8" w:space="0" w:color="auto"/>
            </w:tcBorders>
            <w:vAlign w:val="bottom"/>
          </w:tcPr>
          <w:p w14:paraId="78AE9A93" w14:textId="77777777" w:rsidR="00EF26BC" w:rsidRDefault="00343DF1">
            <w:pPr>
              <w:jc w:val="center"/>
              <w:rPr>
                <w:sz w:val="20"/>
                <w:szCs w:val="20"/>
              </w:rPr>
            </w:pPr>
            <w:r>
              <w:rPr>
                <w:rFonts w:ascii="Arial" w:eastAsia="Arial" w:hAnsi="Arial" w:cs="Arial"/>
                <w:b/>
                <w:bCs/>
                <w:w w:val="99"/>
                <w:sz w:val="10"/>
                <w:szCs w:val="10"/>
              </w:rPr>
              <w:t>Femicidios</w:t>
            </w:r>
          </w:p>
        </w:tc>
        <w:tc>
          <w:tcPr>
            <w:tcW w:w="0" w:type="dxa"/>
            <w:vAlign w:val="bottom"/>
          </w:tcPr>
          <w:p w14:paraId="78AE9A94" w14:textId="77777777" w:rsidR="00EF26BC" w:rsidRDefault="00EF26BC">
            <w:pPr>
              <w:rPr>
                <w:sz w:val="1"/>
                <w:szCs w:val="1"/>
              </w:rPr>
            </w:pPr>
          </w:p>
        </w:tc>
      </w:tr>
      <w:tr w:rsidR="00EF26BC" w14:paraId="78AE9A9A" w14:textId="77777777">
        <w:trPr>
          <w:trHeight w:val="85"/>
        </w:trPr>
        <w:tc>
          <w:tcPr>
            <w:tcW w:w="680" w:type="dxa"/>
            <w:vMerge/>
            <w:tcBorders>
              <w:left w:val="single" w:sz="8" w:space="0" w:color="auto"/>
              <w:right w:val="single" w:sz="8" w:space="0" w:color="auto"/>
            </w:tcBorders>
            <w:vAlign w:val="bottom"/>
          </w:tcPr>
          <w:p w14:paraId="78AE9A96" w14:textId="77777777" w:rsidR="00EF26BC" w:rsidRDefault="00EF26BC">
            <w:pPr>
              <w:rPr>
                <w:sz w:val="7"/>
                <w:szCs w:val="7"/>
              </w:rPr>
            </w:pPr>
          </w:p>
        </w:tc>
        <w:tc>
          <w:tcPr>
            <w:tcW w:w="1200" w:type="dxa"/>
            <w:vMerge w:val="restart"/>
            <w:tcBorders>
              <w:right w:val="single" w:sz="8" w:space="0" w:color="auto"/>
            </w:tcBorders>
            <w:vAlign w:val="bottom"/>
          </w:tcPr>
          <w:p w14:paraId="78AE9A97" w14:textId="77777777" w:rsidR="00EF26BC" w:rsidRDefault="00343DF1">
            <w:pPr>
              <w:jc w:val="center"/>
              <w:rPr>
                <w:sz w:val="20"/>
                <w:szCs w:val="20"/>
              </w:rPr>
            </w:pPr>
            <w:r>
              <w:rPr>
                <w:rFonts w:ascii="Arial" w:eastAsia="Arial" w:hAnsi="Arial" w:cs="Arial"/>
                <w:b/>
                <w:bCs/>
                <w:sz w:val="10"/>
                <w:szCs w:val="10"/>
              </w:rPr>
              <w:t>Violencia doméstica</w:t>
            </w:r>
          </w:p>
        </w:tc>
        <w:tc>
          <w:tcPr>
            <w:tcW w:w="660" w:type="dxa"/>
            <w:vMerge/>
            <w:tcBorders>
              <w:right w:val="single" w:sz="8" w:space="0" w:color="auto"/>
            </w:tcBorders>
            <w:vAlign w:val="bottom"/>
          </w:tcPr>
          <w:p w14:paraId="78AE9A98" w14:textId="77777777" w:rsidR="00EF26BC" w:rsidRDefault="00EF26BC">
            <w:pPr>
              <w:rPr>
                <w:sz w:val="7"/>
                <w:szCs w:val="7"/>
              </w:rPr>
            </w:pPr>
          </w:p>
        </w:tc>
        <w:tc>
          <w:tcPr>
            <w:tcW w:w="0" w:type="dxa"/>
            <w:vAlign w:val="bottom"/>
          </w:tcPr>
          <w:p w14:paraId="78AE9A99" w14:textId="77777777" w:rsidR="00EF26BC" w:rsidRDefault="00EF26BC">
            <w:pPr>
              <w:rPr>
                <w:sz w:val="1"/>
                <w:szCs w:val="1"/>
              </w:rPr>
            </w:pPr>
          </w:p>
        </w:tc>
      </w:tr>
      <w:tr w:rsidR="00EF26BC" w14:paraId="78AE9A9F" w14:textId="77777777">
        <w:trPr>
          <w:trHeight w:val="39"/>
        </w:trPr>
        <w:tc>
          <w:tcPr>
            <w:tcW w:w="680" w:type="dxa"/>
            <w:tcBorders>
              <w:left w:val="single" w:sz="8" w:space="0" w:color="auto"/>
              <w:bottom w:val="single" w:sz="8" w:space="0" w:color="auto"/>
              <w:right w:val="single" w:sz="8" w:space="0" w:color="auto"/>
            </w:tcBorders>
            <w:vAlign w:val="bottom"/>
          </w:tcPr>
          <w:p w14:paraId="78AE9A9B" w14:textId="77777777" w:rsidR="00EF26BC" w:rsidRDefault="00EF26BC">
            <w:pPr>
              <w:rPr>
                <w:sz w:val="3"/>
                <w:szCs w:val="3"/>
              </w:rPr>
            </w:pPr>
          </w:p>
        </w:tc>
        <w:tc>
          <w:tcPr>
            <w:tcW w:w="1200" w:type="dxa"/>
            <w:vMerge/>
            <w:tcBorders>
              <w:bottom w:val="single" w:sz="8" w:space="0" w:color="auto"/>
              <w:right w:val="single" w:sz="8" w:space="0" w:color="auto"/>
            </w:tcBorders>
            <w:vAlign w:val="bottom"/>
          </w:tcPr>
          <w:p w14:paraId="78AE9A9C" w14:textId="77777777" w:rsidR="00EF26BC" w:rsidRDefault="00EF26BC">
            <w:pPr>
              <w:rPr>
                <w:sz w:val="3"/>
                <w:szCs w:val="3"/>
              </w:rPr>
            </w:pPr>
          </w:p>
        </w:tc>
        <w:tc>
          <w:tcPr>
            <w:tcW w:w="660" w:type="dxa"/>
            <w:tcBorders>
              <w:bottom w:val="single" w:sz="8" w:space="0" w:color="auto"/>
              <w:right w:val="single" w:sz="8" w:space="0" w:color="auto"/>
            </w:tcBorders>
            <w:vAlign w:val="bottom"/>
          </w:tcPr>
          <w:p w14:paraId="78AE9A9D" w14:textId="77777777" w:rsidR="00EF26BC" w:rsidRDefault="00EF26BC">
            <w:pPr>
              <w:rPr>
                <w:sz w:val="3"/>
                <w:szCs w:val="3"/>
              </w:rPr>
            </w:pPr>
          </w:p>
        </w:tc>
        <w:tc>
          <w:tcPr>
            <w:tcW w:w="0" w:type="dxa"/>
            <w:vAlign w:val="bottom"/>
          </w:tcPr>
          <w:p w14:paraId="78AE9A9E" w14:textId="77777777" w:rsidR="00EF26BC" w:rsidRDefault="00EF26BC">
            <w:pPr>
              <w:rPr>
                <w:sz w:val="1"/>
                <w:szCs w:val="1"/>
              </w:rPr>
            </w:pPr>
          </w:p>
        </w:tc>
      </w:tr>
      <w:tr w:rsidR="00EF26BC" w14:paraId="78AE9AA4" w14:textId="77777777">
        <w:trPr>
          <w:trHeight w:val="102"/>
        </w:trPr>
        <w:tc>
          <w:tcPr>
            <w:tcW w:w="680" w:type="dxa"/>
            <w:tcBorders>
              <w:left w:val="single" w:sz="8" w:space="0" w:color="auto"/>
              <w:bottom w:val="single" w:sz="8" w:space="0" w:color="auto"/>
              <w:right w:val="single" w:sz="8" w:space="0" w:color="auto"/>
            </w:tcBorders>
            <w:vAlign w:val="bottom"/>
          </w:tcPr>
          <w:p w14:paraId="78AE9AA0" w14:textId="77777777" w:rsidR="00EF26BC" w:rsidRDefault="00343DF1">
            <w:pPr>
              <w:spacing w:line="102" w:lineRule="exact"/>
              <w:ind w:left="60"/>
              <w:rPr>
                <w:sz w:val="20"/>
                <w:szCs w:val="20"/>
              </w:rPr>
            </w:pPr>
            <w:r>
              <w:rPr>
                <w:rFonts w:ascii="Arial" w:eastAsia="Arial" w:hAnsi="Arial" w:cs="Arial"/>
                <w:sz w:val="10"/>
                <w:szCs w:val="10"/>
              </w:rPr>
              <w:t>San Jose</w:t>
            </w:r>
          </w:p>
        </w:tc>
        <w:tc>
          <w:tcPr>
            <w:tcW w:w="1200" w:type="dxa"/>
            <w:tcBorders>
              <w:bottom w:val="single" w:sz="8" w:space="0" w:color="auto"/>
              <w:right w:val="single" w:sz="8" w:space="0" w:color="auto"/>
            </w:tcBorders>
            <w:shd w:val="clear" w:color="auto" w:fill="C6161C"/>
            <w:vAlign w:val="bottom"/>
          </w:tcPr>
          <w:p w14:paraId="78AE9AA1" w14:textId="77777777" w:rsidR="00EF26BC" w:rsidRDefault="00343DF1">
            <w:pPr>
              <w:spacing w:line="102" w:lineRule="exact"/>
              <w:jc w:val="center"/>
              <w:rPr>
                <w:sz w:val="20"/>
                <w:szCs w:val="20"/>
              </w:rPr>
            </w:pPr>
            <w:r>
              <w:rPr>
                <w:rFonts w:ascii="Arial" w:eastAsia="Arial" w:hAnsi="Arial" w:cs="Arial"/>
                <w:w w:val="97"/>
                <w:sz w:val="10"/>
                <w:szCs w:val="10"/>
              </w:rPr>
              <w:t>13.816</w:t>
            </w:r>
          </w:p>
        </w:tc>
        <w:tc>
          <w:tcPr>
            <w:tcW w:w="660" w:type="dxa"/>
            <w:tcBorders>
              <w:bottom w:val="single" w:sz="8" w:space="0" w:color="auto"/>
              <w:right w:val="single" w:sz="8" w:space="0" w:color="auto"/>
            </w:tcBorders>
            <w:vAlign w:val="bottom"/>
          </w:tcPr>
          <w:p w14:paraId="78AE9AA2" w14:textId="77777777" w:rsidR="00EF26BC" w:rsidRDefault="00343DF1">
            <w:pPr>
              <w:spacing w:line="102" w:lineRule="exact"/>
              <w:jc w:val="center"/>
              <w:rPr>
                <w:sz w:val="20"/>
                <w:szCs w:val="20"/>
              </w:rPr>
            </w:pPr>
            <w:r>
              <w:rPr>
                <w:rFonts w:ascii="Arial" w:eastAsia="Arial" w:hAnsi="Arial" w:cs="Arial"/>
                <w:sz w:val="10"/>
                <w:szCs w:val="10"/>
              </w:rPr>
              <w:t>4</w:t>
            </w:r>
          </w:p>
        </w:tc>
        <w:tc>
          <w:tcPr>
            <w:tcW w:w="0" w:type="dxa"/>
            <w:vAlign w:val="bottom"/>
          </w:tcPr>
          <w:p w14:paraId="78AE9AA3" w14:textId="77777777" w:rsidR="00EF26BC" w:rsidRDefault="00EF26BC">
            <w:pPr>
              <w:rPr>
                <w:sz w:val="1"/>
                <w:szCs w:val="1"/>
              </w:rPr>
            </w:pPr>
          </w:p>
        </w:tc>
      </w:tr>
      <w:tr w:rsidR="00EF26BC" w14:paraId="78AE9AA9" w14:textId="77777777">
        <w:trPr>
          <w:trHeight w:val="105"/>
        </w:trPr>
        <w:tc>
          <w:tcPr>
            <w:tcW w:w="680" w:type="dxa"/>
            <w:tcBorders>
              <w:left w:val="single" w:sz="8" w:space="0" w:color="auto"/>
              <w:bottom w:val="single" w:sz="8" w:space="0" w:color="auto"/>
              <w:right w:val="single" w:sz="8" w:space="0" w:color="auto"/>
            </w:tcBorders>
            <w:vAlign w:val="bottom"/>
          </w:tcPr>
          <w:p w14:paraId="78AE9AA5" w14:textId="77777777" w:rsidR="00EF26BC" w:rsidRDefault="00343DF1">
            <w:pPr>
              <w:spacing w:line="105" w:lineRule="exact"/>
              <w:ind w:left="60"/>
              <w:rPr>
                <w:sz w:val="20"/>
                <w:szCs w:val="20"/>
              </w:rPr>
            </w:pPr>
            <w:r>
              <w:rPr>
                <w:rFonts w:ascii="Arial" w:eastAsia="Arial" w:hAnsi="Arial" w:cs="Arial"/>
                <w:sz w:val="10"/>
                <w:szCs w:val="10"/>
              </w:rPr>
              <w:t>Cartago</w:t>
            </w:r>
          </w:p>
        </w:tc>
        <w:tc>
          <w:tcPr>
            <w:tcW w:w="1200" w:type="dxa"/>
            <w:tcBorders>
              <w:bottom w:val="single" w:sz="8" w:space="0" w:color="auto"/>
              <w:right w:val="single" w:sz="8" w:space="0" w:color="auto"/>
            </w:tcBorders>
            <w:shd w:val="clear" w:color="auto" w:fill="FFF5F0"/>
            <w:vAlign w:val="bottom"/>
          </w:tcPr>
          <w:p w14:paraId="78AE9AA6" w14:textId="77777777" w:rsidR="00EF26BC" w:rsidRDefault="00343DF1">
            <w:pPr>
              <w:spacing w:line="105" w:lineRule="exact"/>
              <w:jc w:val="center"/>
              <w:rPr>
                <w:sz w:val="20"/>
                <w:szCs w:val="20"/>
              </w:rPr>
            </w:pPr>
            <w:r>
              <w:rPr>
                <w:rFonts w:ascii="Arial" w:eastAsia="Arial" w:hAnsi="Arial" w:cs="Arial"/>
                <w:sz w:val="10"/>
                <w:szCs w:val="10"/>
              </w:rPr>
              <w:t>4.014</w:t>
            </w:r>
          </w:p>
        </w:tc>
        <w:tc>
          <w:tcPr>
            <w:tcW w:w="660" w:type="dxa"/>
            <w:tcBorders>
              <w:bottom w:val="single" w:sz="8" w:space="0" w:color="auto"/>
              <w:right w:val="single" w:sz="8" w:space="0" w:color="auto"/>
            </w:tcBorders>
            <w:vAlign w:val="bottom"/>
          </w:tcPr>
          <w:p w14:paraId="78AE9AA7" w14:textId="77777777" w:rsidR="00EF26BC" w:rsidRDefault="00343DF1">
            <w:pPr>
              <w:spacing w:line="105" w:lineRule="exact"/>
              <w:jc w:val="center"/>
              <w:rPr>
                <w:sz w:val="20"/>
                <w:szCs w:val="20"/>
              </w:rPr>
            </w:pPr>
            <w:r>
              <w:rPr>
                <w:rFonts w:ascii="Arial" w:eastAsia="Arial" w:hAnsi="Arial" w:cs="Arial"/>
                <w:sz w:val="10"/>
                <w:szCs w:val="10"/>
              </w:rPr>
              <w:t>2</w:t>
            </w:r>
          </w:p>
        </w:tc>
        <w:tc>
          <w:tcPr>
            <w:tcW w:w="0" w:type="dxa"/>
            <w:vAlign w:val="bottom"/>
          </w:tcPr>
          <w:p w14:paraId="78AE9AA8" w14:textId="77777777" w:rsidR="00EF26BC" w:rsidRDefault="00EF26BC">
            <w:pPr>
              <w:rPr>
                <w:sz w:val="1"/>
                <w:szCs w:val="1"/>
              </w:rPr>
            </w:pPr>
          </w:p>
        </w:tc>
      </w:tr>
      <w:tr w:rsidR="00EF26BC" w14:paraId="78AE9AAE" w14:textId="77777777">
        <w:trPr>
          <w:trHeight w:val="102"/>
        </w:trPr>
        <w:tc>
          <w:tcPr>
            <w:tcW w:w="680" w:type="dxa"/>
            <w:tcBorders>
              <w:left w:val="single" w:sz="8" w:space="0" w:color="auto"/>
              <w:bottom w:val="single" w:sz="8" w:space="0" w:color="auto"/>
              <w:right w:val="single" w:sz="8" w:space="0" w:color="auto"/>
            </w:tcBorders>
            <w:vAlign w:val="bottom"/>
          </w:tcPr>
          <w:p w14:paraId="78AE9AAA" w14:textId="77777777" w:rsidR="00EF26BC" w:rsidRDefault="00343DF1">
            <w:pPr>
              <w:spacing w:line="102" w:lineRule="exact"/>
              <w:ind w:left="60"/>
              <w:rPr>
                <w:sz w:val="20"/>
                <w:szCs w:val="20"/>
              </w:rPr>
            </w:pPr>
            <w:r>
              <w:rPr>
                <w:rFonts w:ascii="Arial" w:eastAsia="Arial" w:hAnsi="Arial" w:cs="Arial"/>
                <w:sz w:val="10"/>
                <w:szCs w:val="10"/>
              </w:rPr>
              <w:t>Alajuela</w:t>
            </w:r>
          </w:p>
        </w:tc>
        <w:tc>
          <w:tcPr>
            <w:tcW w:w="1200" w:type="dxa"/>
            <w:tcBorders>
              <w:bottom w:val="single" w:sz="8" w:space="0" w:color="auto"/>
              <w:right w:val="single" w:sz="8" w:space="0" w:color="auto"/>
            </w:tcBorders>
            <w:shd w:val="clear" w:color="auto" w:fill="F54D38"/>
            <w:vAlign w:val="bottom"/>
          </w:tcPr>
          <w:p w14:paraId="78AE9AAB" w14:textId="77777777" w:rsidR="00EF26BC" w:rsidRDefault="00343DF1">
            <w:pPr>
              <w:spacing w:line="102" w:lineRule="exact"/>
              <w:jc w:val="center"/>
              <w:rPr>
                <w:sz w:val="20"/>
                <w:szCs w:val="20"/>
              </w:rPr>
            </w:pPr>
            <w:r>
              <w:rPr>
                <w:rFonts w:ascii="Arial" w:eastAsia="Arial" w:hAnsi="Arial" w:cs="Arial"/>
                <w:sz w:val="10"/>
                <w:szCs w:val="10"/>
              </w:rPr>
              <w:t>9.367</w:t>
            </w:r>
          </w:p>
        </w:tc>
        <w:tc>
          <w:tcPr>
            <w:tcW w:w="660" w:type="dxa"/>
            <w:tcBorders>
              <w:bottom w:val="single" w:sz="8" w:space="0" w:color="auto"/>
              <w:right w:val="single" w:sz="8" w:space="0" w:color="auto"/>
            </w:tcBorders>
            <w:vAlign w:val="bottom"/>
          </w:tcPr>
          <w:p w14:paraId="78AE9AAC" w14:textId="77777777" w:rsidR="00EF26BC" w:rsidRDefault="00343DF1">
            <w:pPr>
              <w:spacing w:line="102" w:lineRule="exact"/>
              <w:jc w:val="center"/>
              <w:rPr>
                <w:sz w:val="20"/>
                <w:szCs w:val="20"/>
              </w:rPr>
            </w:pPr>
            <w:r>
              <w:rPr>
                <w:rFonts w:ascii="Arial" w:eastAsia="Arial" w:hAnsi="Arial" w:cs="Arial"/>
                <w:sz w:val="10"/>
                <w:szCs w:val="10"/>
              </w:rPr>
              <w:t>4</w:t>
            </w:r>
          </w:p>
        </w:tc>
        <w:tc>
          <w:tcPr>
            <w:tcW w:w="0" w:type="dxa"/>
            <w:vAlign w:val="bottom"/>
          </w:tcPr>
          <w:p w14:paraId="78AE9AAD" w14:textId="77777777" w:rsidR="00EF26BC" w:rsidRDefault="00EF26BC">
            <w:pPr>
              <w:rPr>
                <w:sz w:val="1"/>
                <w:szCs w:val="1"/>
              </w:rPr>
            </w:pPr>
          </w:p>
        </w:tc>
      </w:tr>
      <w:tr w:rsidR="00EF26BC" w14:paraId="78AE9AB3" w14:textId="77777777">
        <w:trPr>
          <w:trHeight w:val="102"/>
        </w:trPr>
        <w:tc>
          <w:tcPr>
            <w:tcW w:w="680" w:type="dxa"/>
            <w:tcBorders>
              <w:left w:val="single" w:sz="8" w:space="0" w:color="auto"/>
              <w:bottom w:val="single" w:sz="8" w:space="0" w:color="auto"/>
              <w:right w:val="single" w:sz="8" w:space="0" w:color="auto"/>
            </w:tcBorders>
            <w:vAlign w:val="bottom"/>
          </w:tcPr>
          <w:p w14:paraId="78AE9AAF" w14:textId="77777777" w:rsidR="00EF26BC" w:rsidRDefault="00343DF1">
            <w:pPr>
              <w:spacing w:line="102" w:lineRule="exact"/>
              <w:ind w:left="60"/>
              <w:rPr>
                <w:sz w:val="20"/>
                <w:szCs w:val="20"/>
              </w:rPr>
            </w:pPr>
            <w:r>
              <w:rPr>
                <w:rFonts w:ascii="Arial" w:eastAsia="Arial" w:hAnsi="Arial" w:cs="Arial"/>
                <w:sz w:val="10"/>
                <w:szCs w:val="10"/>
              </w:rPr>
              <w:t>Heredia</w:t>
            </w:r>
          </w:p>
        </w:tc>
        <w:tc>
          <w:tcPr>
            <w:tcW w:w="1200" w:type="dxa"/>
            <w:tcBorders>
              <w:bottom w:val="single" w:sz="8" w:space="0" w:color="auto"/>
              <w:right w:val="single" w:sz="8" w:space="0" w:color="auto"/>
            </w:tcBorders>
            <w:shd w:val="clear" w:color="auto" w:fill="FFF5F0"/>
            <w:vAlign w:val="bottom"/>
          </w:tcPr>
          <w:p w14:paraId="78AE9AB0" w14:textId="77777777" w:rsidR="00EF26BC" w:rsidRDefault="00343DF1">
            <w:pPr>
              <w:spacing w:line="102" w:lineRule="exact"/>
              <w:jc w:val="center"/>
              <w:rPr>
                <w:sz w:val="20"/>
                <w:szCs w:val="20"/>
              </w:rPr>
            </w:pPr>
            <w:r>
              <w:rPr>
                <w:rFonts w:ascii="Arial" w:eastAsia="Arial" w:hAnsi="Arial" w:cs="Arial"/>
                <w:sz w:val="10"/>
                <w:szCs w:val="10"/>
              </w:rPr>
              <w:t>4.402</w:t>
            </w:r>
          </w:p>
        </w:tc>
        <w:tc>
          <w:tcPr>
            <w:tcW w:w="660" w:type="dxa"/>
            <w:tcBorders>
              <w:bottom w:val="single" w:sz="8" w:space="0" w:color="auto"/>
              <w:right w:val="single" w:sz="8" w:space="0" w:color="auto"/>
            </w:tcBorders>
            <w:vAlign w:val="bottom"/>
          </w:tcPr>
          <w:p w14:paraId="78AE9AB1" w14:textId="77777777" w:rsidR="00EF26BC" w:rsidRDefault="00343DF1">
            <w:pPr>
              <w:spacing w:line="102" w:lineRule="exact"/>
              <w:jc w:val="center"/>
              <w:rPr>
                <w:sz w:val="20"/>
                <w:szCs w:val="20"/>
              </w:rPr>
            </w:pPr>
            <w:r>
              <w:rPr>
                <w:rFonts w:ascii="Arial" w:eastAsia="Arial" w:hAnsi="Arial" w:cs="Arial"/>
                <w:sz w:val="10"/>
                <w:szCs w:val="10"/>
              </w:rPr>
              <w:t>4</w:t>
            </w:r>
          </w:p>
        </w:tc>
        <w:tc>
          <w:tcPr>
            <w:tcW w:w="0" w:type="dxa"/>
            <w:vAlign w:val="bottom"/>
          </w:tcPr>
          <w:p w14:paraId="78AE9AB2" w14:textId="77777777" w:rsidR="00EF26BC" w:rsidRDefault="00EF26BC">
            <w:pPr>
              <w:rPr>
                <w:sz w:val="1"/>
                <w:szCs w:val="1"/>
              </w:rPr>
            </w:pPr>
          </w:p>
        </w:tc>
      </w:tr>
      <w:tr w:rsidR="00EF26BC" w14:paraId="78AE9AB8" w14:textId="77777777">
        <w:trPr>
          <w:trHeight w:val="102"/>
        </w:trPr>
        <w:tc>
          <w:tcPr>
            <w:tcW w:w="680" w:type="dxa"/>
            <w:tcBorders>
              <w:left w:val="single" w:sz="8" w:space="0" w:color="auto"/>
              <w:bottom w:val="single" w:sz="8" w:space="0" w:color="auto"/>
              <w:right w:val="single" w:sz="8" w:space="0" w:color="auto"/>
            </w:tcBorders>
            <w:vAlign w:val="bottom"/>
          </w:tcPr>
          <w:p w14:paraId="78AE9AB4" w14:textId="77777777" w:rsidR="00EF26BC" w:rsidRDefault="00343DF1">
            <w:pPr>
              <w:spacing w:line="102" w:lineRule="exact"/>
              <w:ind w:left="60"/>
              <w:rPr>
                <w:sz w:val="20"/>
                <w:szCs w:val="20"/>
              </w:rPr>
            </w:pPr>
            <w:r>
              <w:rPr>
                <w:rFonts w:ascii="Arial" w:eastAsia="Arial" w:hAnsi="Arial" w:cs="Arial"/>
                <w:sz w:val="10"/>
                <w:szCs w:val="10"/>
              </w:rPr>
              <w:t>Guanacaste</w:t>
            </w:r>
          </w:p>
        </w:tc>
        <w:tc>
          <w:tcPr>
            <w:tcW w:w="1200" w:type="dxa"/>
            <w:tcBorders>
              <w:bottom w:val="single" w:sz="8" w:space="0" w:color="auto"/>
              <w:right w:val="single" w:sz="8" w:space="0" w:color="auto"/>
            </w:tcBorders>
            <w:shd w:val="clear" w:color="auto" w:fill="FDCCB8"/>
            <w:vAlign w:val="bottom"/>
          </w:tcPr>
          <w:p w14:paraId="78AE9AB5" w14:textId="77777777" w:rsidR="00EF26BC" w:rsidRDefault="00343DF1">
            <w:pPr>
              <w:spacing w:line="102" w:lineRule="exact"/>
              <w:jc w:val="center"/>
              <w:rPr>
                <w:sz w:val="20"/>
                <w:szCs w:val="20"/>
              </w:rPr>
            </w:pPr>
            <w:r>
              <w:rPr>
                <w:rFonts w:ascii="Arial" w:eastAsia="Arial" w:hAnsi="Arial" w:cs="Arial"/>
                <w:sz w:val="10"/>
                <w:szCs w:val="10"/>
              </w:rPr>
              <w:t>5.552</w:t>
            </w:r>
          </w:p>
        </w:tc>
        <w:tc>
          <w:tcPr>
            <w:tcW w:w="660" w:type="dxa"/>
            <w:tcBorders>
              <w:bottom w:val="single" w:sz="8" w:space="0" w:color="auto"/>
              <w:right w:val="single" w:sz="8" w:space="0" w:color="auto"/>
            </w:tcBorders>
            <w:vAlign w:val="bottom"/>
          </w:tcPr>
          <w:p w14:paraId="78AE9AB6" w14:textId="77777777" w:rsidR="00EF26BC" w:rsidRDefault="00343DF1">
            <w:pPr>
              <w:spacing w:line="102" w:lineRule="exact"/>
              <w:jc w:val="center"/>
              <w:rPr>
                <w:sz w:val="20"/>
                <w:szCs w:val="20"/>
              </w:rPr>
            </w:pPr>
            <w:r>
              <w:rPr>
                <w:rFonts w:ascii="Arial" w:eastAsia="Arial" w:hAnsi="Arial" w:cs="Arial"/>
                <w:sz w:val="10"/>
                <w:szCs w:val="10"/>
              </w:rPr>
              <w:t>2</w:t>
            </w:r>
          </w:p>
        </w:tc>
        <w:tc>
          <w:tcPr>
            <w:tcW w:w="0" w:type="dxa"/>
            <w:vAlign w:val="bottom"/>
          </w:tcPr>
          <w:p w14:paraId="78AE9AB7" w14:textId="77777777" w:rsidR="00EF26BC" w:rsidRDefault="00EF26BC">
            <w:pPr>
              <w:rPr>
                <w:sz w:val="1"/>
                <w:szCs w:val="1"/>
              </w:rPr>
            </w:pPr>
          </w:p>
        </w:tc>
      </w:tr>
      <w:tr w:rsidR="00EF26BC" w14:paraId="78AE9ABD" w14:textId="77777777">
        <w:trPr>
          <w:trHeight w:val="115"/>
        </w:trPr>
        <w:tc>
          <w:tcPr>
            <w:tcW w:w="680" w:type="dxa"/>
            <w:tcBorders>
              <w:left w:val="single" w:sz="8" w:space="0" w:color="auto"/>
              <w:bottom w:val="single" w:sz="8" w:space="0" w:color="auto"/>
              <w:right w:val="single" w:sz="8" w:space="0" w:color="auto"/>
            </w:tcBorders>
            <w:vAlign w:val="bottom"/>
          </w:tcPr>
          <w:p w14:paraId="78AE9AB9" w14:textId="77777777" w:rsidR="00EF26BC" w:rsidRDefault="00343DF1">
            <w:pPr>
              <w:ind w:left="60"/>
              <w:rPr>
                <w:sz w:val="20"/>
                <w:szCs w:val="20"/>
              </w:rPr>
            </w:pPr>
            <w:r>
              <w:rPr>
                <w:rFonts w:ascii="Arial" w:eastAsia="Arial" w:hAnsi="Arial" w:cs="Arial"/>
                <w:sz w:val="10"/>
                <w:szCs w:val="10"/>
              </w:rPr>
              <w:t>Puntarenas</w:t>
            </w:r>
          </w:p>
        </w:tc>
        <w:tc>
          <w:tcPr>
            <w:tcW w:w="1200" w:type="dxa"/>
            <w:tcBorders>
              <w:bottom w:val="single" w:sz="8" w:space="0" w:color="auto"/>
              <w:right w:val="single" w:sz="8" w:space="0" w:color="auto"/>
            </w:tcBorders>
            <w:shd w:val="clear" w:color="auto" w:fill="FD8F6F"/>
            <w:vAlign w:val="bottom"/>
          </w:tcPr>
          <w:p w14:paraId="78AE9ABA" w14:textId="77777777" w:rsidR="00EF26BC" w:rsidRDefault="00343DF1">
            <w:pPr>
              <w:jc w:val="center"/>
              <w:rPr>
                <w:sz w:val="20"/>
                <w:szCs w:val="20"/>
              </w:rPr>
            </w:pPr>
            <w:r>
              <w:rPr>
                <w:rFonts w:ascii="Arial" w:eastAsia="Arial" w:hAnsi="Arial" w:cs="Arial"/>
                <w:sz w:val="10"/>
                <w:szCs w:val="10"/>
              </w:rPr>
              <w:t>7.767</w:t>
            </w:r>
          </w:p>
        </w:tc>
        <w:tc>
          <w:tcPr>
            <w:tcW w:w="660" w:type="dxa"/>
            <w:tcBorders>
              <w:bottom w:val="single" w:sz="8" w:space="0" w:color="auto"/>
              <w:right w:val="single" w:sz="8" w:space="0" w:color="auto"/>
            </w:tcBorders>
            <w:vAlign w:val="bottom"/>
          </w:tcPr>
          <w:p w14:paraId="78AE9ABB" w14:textId="77777777" w:rsidR="00EF26BC" w:rsidRDefault="00343DF1">
            <w:pPr>
              <w:jc w:val="center"/>
              <w:rPr>
                <w:sz w:val="20"/>
                <w:szCs w:val="20"/>
              </w:rPr>
            </w:pPr>
            <w:r>
              <w:rPr>
                <w:rFonts w:ascii="Arial" w:eastAsia="Arial" w:hAnsi="Arial" w:cs="Arial"/>
                <w:sz w:val="10"/>
                <w:szCs w:val="10"/>
              </w:rPr>
              <w:t>5</w:t>
            </w:r>
          </w:p>
        </w:tc>
        <w:tc>
          <w:tcPr>
            <w:tcW w:w="0" w:type="dxa"/>
            <w:vAlign w:val="bottom"/>
          </w:tcPr>
          <w:p w14:paraId="78AE9ABC" w14:textId="77777777" w:rsidR="00EF26BC" w:rsidRDefault="00EF26BC">
            <w:pPr>
              <w:rPr>
                <w:sz w:val="1"/>
                <w:szCs w:val="1"/>
              </w:rPr>
            </w:pPr>
          </w:p>
        </w:tc>
      </w:tr>
      <w:tr w:rsidR="00EF26BC" w14:paraId="78AE9AC2" w14:textId="77777777">
        <w:trPr>
          <w:trHeight w:val="102"/>
        </w:trPr>
        <w:tc>
          <w:tcPr>
            <w:tcW w:w="680" w:type="dxa"/>
            <w:tcBorders>
              <w:left w:val="single" w:sz="8" w:space="0" w:color="auto"/>
              <w:bottom w:val="single" w:sz="8" w:space="0" w:color="auto"/>
              <w:right w:val="single" w:sz="8" w:space="0" w:color="auto"/>
            </w:tcBorders>
            <w:vAlign w:val="bottom"/>
          </w:tcPr>
          <w:p w14:paraId="78AE9ABE" w14:textId="77777777" w:rsidR="00EF26BC" w:rsidRDefault="00343DF1">
            <w:pPr>
              <w:spacing w:line="102" w:lineRule="exact"/>
              <w:ind w:left="60"/>
              <w:rPr>
                <w:sz w:val="20"/>
                <w:szCs w:val="20"/>
              </w:rPr>
            </w:pPr>
            <w:r>
              <w:rPr>
                <w:rFonts w:ascii="Arial" w:eastAsia="Arial" w:hAnsi="Arial" w:cs="Arial"/>
                <w:sz w:val="10"/>
                <w:szCs w:val="10"/>
              </w:rPr>
              <w:t>Limon</w:t>
            </w:r>
          </w:p>
        </w:tc>
        <w:tc>
          <w:tcPr>
            <w:tcW w:w="1200" w:type="dxa"/>
            <w:tcBorders>
              <w:bottom w:val="single" w:sz="8" w:space="0" w:color="auto"/>
              <w:right w:val="single" w:sz="8" w:space="0" w:color="auto"/>
            </w:tcBorders>
            <w:shd w:val="clear" w:color="auto" w:fill="FFF5F0"/>
            <w:vAlign w:val="bottom"/>
          </w:tcPr>
          <w:p w14:paraId="78AE9ABF" w14:textId="77777777" w:rsidR="00EF26BC" w:rsidRDefault="00343DF1">
            <w:pPr>
              <w:spacing w:line="102" w:lineRule="exact"/>
              <w:jc w:val="center"/>
              <w:rPr>
                <w:sz w:val="20"/>
                <w:szCs w:val="20"/>
              </w:rPr>
            </w:pPr>
            <w:r>
              <w:rPr>
                <w:rFonts w:ascii="Arial" w:eastAsia="Arial" w:hAnsi="Arial" w:cs="Arial"/>
                <w:sz w:val="10"/>
                <w:szCs w:val="10"/>
              </w:rPr>
              <w:t>4.161</w:t>
            </w:r>
          </w:p>
        </w:tc>
        <w:tc>
          <w:tcPr>
            <w:tcW w:w="660" w:type="dxa"/>
            <w:tcBorders>
              <w:bottom w:val="single" w:sz="8" w:space="0" w:color="auto"/>
              <w:right w:val="single" w:sz="8" w:space="0" w:color="auto"/>
            </w:tcBorders>
            <w:vAlign w:val="bottom"/>
          </w:tcPr>
          <w:p w14:paraId="78AE9AC0" w14:textId="77777777" w:rsidR="00EF26BC" w:rsidRDefault="00343DF1">
            <w:pPr>
              <w:spacing w:line="102" w:lineRule="exact"/>
              <w:jc w:val="center"/>
              <w:rPr>
                <w:sz w:val="20"/>
                <w:szCs w:val="20"/>
              </w:rPr>
            </w:pPr>
            <w:r>
              <w:rPr>
                <w:rFonts w:ascii="Arial" w:eastAsia="Arial" w:hAnsi="Arial" w:cs="Arial"/>
                <w:sz w:val="10"/>
                <w:szCs w:val="10"/>
              </w:rPr>
              <w:t>3</w:t>
            </w:r>
          </w:p>
        </w:tc>
        <w:tc>
          <w:tcPr>
            <w:tcW w:w="0" w:type="dxa"/>
            <w:vAlign w:val="bottom"/>
          </w:tcPr>
          <w:p w14:paraId="78AE9AC1" w14:textId="77777777" w:rsidR="00EF26BC" w:rsidRDefault="00EF26BC">
            <w:pPr>
              <w:rPr>
                <w:sz w:val="1"/>
                <w:szCs w:val="1"/>
              </w:rPr>
            </w:pPr>
          </w:p>
        </w:tc>
      </w:tr>
    </w:tbl>
    <w:p w14:paraId="78AE9AC3" w14:textId="77777777" w:rsidR="00EF26BC" w:rsidRDefault="00343DF1">
      <w:pPr>
        <w:spacing w:line="20" w:lineRule="exact"/>
        <w:rPr>
          <w:sz w:val="20"/>
          <w:szCs w:val="20"/>
        </w:rPr>
      </w:pPr>
      <w:r>
        <w:rPr>
          <w:sz w:val="20"/>
          <w:szCs w:val="20"/>
        </w:rPr>
        <w:br w:type="column"/>
      </w:r>
    </w:p>
    <w:p w14:paraId="78AE9AC4" w14:textId="77777777" w:rsidR="00EF26BC" w:rsidRDefault="00EF26BC">
      <w:pPr>
        <w:spacing w:line="200" w:lineRule="exact"/>
        <w:rPr>
          <w:sz w:val="20"/>
          <w:szCs w:val="20"/>
        </w:rPr>
      </w:pPr>
    </w:p>
    <w:p w14:paraId="78AE9AC5" w14:textId="77777777" w:rsidR="00EF26BC" w:rsidRDefault="00EF26BC">
      <w:pPr>
        <w:spacing w:line="200" w:lineRule="exact"/>
        <w:rPr>
          <w:sz w:val="20"/>
          <w:szCs w:val="20"/>
        </w:rPr>
      </w:pPr>
    </w:p>
    <w:p w14:paraId="78AE9AC6" w14:textId="77777777" w:rsidR="00EF26BC" w:rsidRDefault="00EF26BC">
      <w:pPr>
        <w:spacing w:line="200" w:lineRule="exact"/>
        <w:rPr>
          <w:sz w:val="20"/>
          <w:szCs w:val="20"/>
        </w:rPr>
      </w:pPr>
    </w:p>
    <w:p w14:paraId="78AE9AC7" w14:textId="77777777" w:rsidR="00EF26BC" w:rsidRDefault="00EF26BC">
      <w:pPr>
        <w:spacing w:line="200" w:lineRule="exact"/>
        <w:rPr>
          <w:sz w:val="20"/>
          <w:szCs w:val="20"/>
        </w:rPr>
      </w:pPr>
    </w:p>
    <w:p w14:paraId="78AE9AC8" w14:textId="77777777" w:rsidR="00EF26BC" w:rsidRDefault="00EF26BC">
      <w:pPr>
        <w:spacing w:line="200" w:lineRule="exact"/>
        <w:rPr>
          <w:sz w:val="20"/>
          <w:szCs w:val="20"/>
        </w:rPr>
      </w:pPr>
    </w:p>
    <w:p w14:paraId="78AE9AC9" w14:textId="77777777" w:rsidR="00EF26BC" w:rsidRDefault="00EF26BC">
      <w:pPr>
        <w:spacing w:line="200" w:lineRule="exact"/>
        <w:rPr>
          <w:sz w:val="20"/>
          <w:szCs w:val="20"/>
        </w:rPr>
      </w:pPr>
    </w:p>
    <w:p w14:paraId="78AE9ACA" w14:textId="77777777" w:rsidR="00EF26BC" w:rsidRDefault="00EF26BC">
      <w:pPr>
        <w:spacing w:line="200" w:lineRule="exact"/>
        <w:rPr>
          <w:sz w:val="20"/>
          <w:szCs w:val="20"/>
        </w:rPr>
      </w:pPr>
    </w:p>
    <w:p w14:paraId="78AE9ACB" w14:textId="77777777" w:rsidR="00EF26BC" w:rsidRDefault="00EF26BC">
      <w:pPr>
        <w:spacing w:line="200" w:lineRule="exact"/>
        <w:rPr>
          <w:sz w:val="20"/>
          <w:szCs w:val="20"/>
        </w:rPr>
      </w:pPr>
    </w:p>
    <w:p w14:paraId="78AE9ACC" w14:textId="77777777" w:rsidR="00EF26BC" w:rsidRDefault="00EF26BC">
      <w:pPr>
        <w:spacing w:line="310" w:lineRule="exact"/>
        <w:rPr>
          <w:sz w:val="20"/>
          <w:szCs w:val="20"/>
        </w:rPr>
      </w:pPr>
    </w:p>
    <w:p w14:paraId="78AE9ACD" w14:textId="77777777" w:rsidR="00EF26BC" w:rsidRDefault="00EF26BC">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1480"/>
        <w:gridCol w:w="600"/>
        <w:gridCol w:w="30"/>
      </w:tblGrid>
      <w:tr w:rsidR="00EF26BC" w14:paraId="78AE9AD2" w14:textId="77777777">
        <w:trPr>
          <w:trHeight w:val="114"/>
        </w:trPr>
        <w:tc>
          <w:tcPr>
            <w:tcW w:w="700" w:type="dxa"/>
            <w:vMerge w:val="restart"/>
            <w:tcBorders>
              <w:top w:val="single" w:sz="8" w:space="0" w:color="auto"/>
              <w:left w:val="single" w:sz="8" w:space="0" w:color="auto"/>
              <w:right w:val="single" w:sz="8" w:space="0" w:color="auto"/>
            </w:tcBorders>
            <w:vAlign w:val="bottom"/>
          </w:tcPr>
          <w:p w14:paraId="78AE9ACE" w14:textId="77777777" w:rsidR="00EF26BC" w:rsidRDefault="00343DF1">
            <w:pPr>
              <w:ind w:left="120"/>
              <w:rPr>
                <w:sz w:val="20"/>
                <w:szCs w:val="20"/>
              </w:rPr>
            </w:pPr>
            <w:r>
              <w:rPr>
                <w:rFonts w:ascii="Arial" w:eastAsia="Arial" w:hAnsi="Arial" w:cs="Arial"/>
                <w:b/>
                <w:bCs/>
                <w:sz w:val="10"/>
                <w:szCs w:val="10"/>
              </w:rPr>
              <w:t>Provincia</w:t>
            </w:r>
          </w:p>
        </w:tc>
        <w:tc>
          <w:tcPr>
            <w:tcW w:w="1480" w:type="dxa"/>
            <w:tcBorders>
              <w:top w:val="single" w:sz="8" w:space="0" w:color="auto"/>
              <w:right w:val="single" w:sz="8" w:space="0" w:color="auto"/>
            </w:tcBorders>
            <w:vAlign w:val="bottom"/>
          </w:tcPr>
          <w:p w14:paraId="78AE9ACF" w14:textId="77777777" w:rsidR="00EF26BC" w:rsidRDefault="00343DF1">
            <w:pPr>
              <w:spacing w:line="114" w:lineRule="exact"/>
              <w:jc w:val="center"/>
              <w:rPr>
                <w:sz w:val="20"/>
                <w:szCs w:val="20"/>
              </w:rPr>
            </w:pPr>
            <w:r>
              <w:rPr>
                <w:rFonts w:ascii="Arial" w:eastAsia="Arial" w:hAnsi="Arial" w:cs="Arial"/>
                <w:b/>
                <w:bCs/>
                <w:w w:val="96"/>
                <w:sz w:val="10"/>
                <w:szCs w:val="10"/>
              </w:rPr>
              <w:t>Tasa de Violencia Doméstica</w:t>
            </w:r>
          </w:p>
        </w:tc>
        <w:tc>
          <w:tcPr>
            <w:tcW w:w="600" w:type="dxa"/>
            <w:vMerge w:val="restart"/>
            <w:tcBorders>
              <w:top w:val="single" w:sz="8" w:space="0" w:color="auto"/>
              <w:right w:val="single" w:sz="8" w:space="0" w:color="auto"/>
            </w:tcBorders>
            <w:vAlign w:val="bottom"/>
          </w:tcPr>
          <w:p w14:paraId="78AE9AD0" w14:textId="77777777" w:rsidR="00EF26BC" w:rsidRDefault="00343DF1">
            <w:pPr>
              <w:jc w:val="center"/>
              <w:rPr>
                <w:sz w:val="20"/>
                <w:szCs w:val="20"/>
              </w:rPr>
            </w:pPr>
            <w:r>
              <w:rPr>
                <w:rFonts w:ascii="Arial" w:eastAsia="Arial" w:hAnsi="Arial" w:cs="Arial"/>
                <w:b/>
                <w:bCs/>
                <w:w w:val="99"/>
                <w:sz w:val="10"/>
                <w:szCs w:val="10"/>
              </w:rPr>
              <w:t>Femicidios</w:t>
            </w:r>
          </w:p>
        </w:tc>
        <w:tc>
          <w:tcPr>
            <w:tcW w:w="0" w:type="dxa"/>
            <w:vAlign w:val="bottom"/>
          </w:tcPr>
          <w:p w14:paraId="78AE9AD1" w14:textId="77777777" w:rsidR="00EF26BC" w:rsidRDefault="00EF26BC">
            <w:pPr>
              <w:rPr>
                <w:sz w:val="1"/>
                <w:szCs w:val="1"/>
              </w:rPr>
            </w:pPr>
          </w:p>
        </w:tc>
      </w:tr>
      <w:tr w:rsidR="00EF26BC" w14:paraId="78AE9AD7" w14:textId="77777777">
        <w:trPr>
          <w:trHeight w:val="89"/>
        </w:trPr>
        <w:tc>
          <w:tcPr>
            <w:tcW w:w="700" w:type="dxa"/>
            <w:vMerge/>
            <w:tcBorders>
              <w:left w:val="single" w:sz="8" w:space="0" w:color="auto"/>
              <w:right w:val="single" w:sz="8" w:space="0" w:color="auto"/>
            </w:tcBorders>
            <w:vAlign w:val="bottom"/>
          </w:tcPr>
          <w:p w14:paraId="78AE9AD3" w14:textId="77777777" w:rsidR="00EF26BC" w:rsidRDefault="00EF26BC">
            <w:pPr>
              <w:rPr>
                <w:sz w:val="7"/>
                <w:szCs w:val="7"/>
              </w:rPr>
            </w:pPr>
          </w:p>
        </w:tc>
        <w:tc>
          <w:tcPr>
            <w:tcW w:w="1480" w:type="dxa"/>
            <w:vMerge w:val="restart"/>
            <w:tcBorders>
              <w:right w:val="single" w:sz="8" w:space="0" w:color="auto"/>
            </w:tcBorders>
            <w:vAlign w:val="bottom"/>
          </w:tcPr>
          <w:p w14:paraId="78AE9AD4" w14:textId="77777777" w:rsidR="00EF26BC" w:rsidRDefault="00343DF1">
            <w:pPr>
              <w:jc w:val="center"/>
              <w:rPr>
                <w:sz w:val="20"/>
                <w:szCs w:val="20"/>
              </w:rPr>
            </w:pPr>
            <w:r>
              <w:rPr>
                <w:rFonts w:ascii="Arial" w:eastAsia="Arial" w:hAnsi="Arial" w:cs="Arial"/>
                <w:b/>
                <w:bCs/>
                <w:w w:val="95"/>
                <w:sz w:val="10"/>
                <w:szCs w:val="10"/>
              </w:rPr>
              <w:t>por 1.000 habitantes</w:t>
            </w:r>
          </w:p>
        </w:tc>
        <w:tc>
          <w:tcPr>
            <w:tcW w:w="600" w:type="dxa"/>
            <w:vMerge/>
            <w:tcBorders>
              <w:right w:val="single" w:sz="8" w:space="0" w:color="auto"/>
            </w:tcBorders>
            <w:vAlign w:val="bottom"/>
          </w:tcPr>
          <w:p w14:paraId="78AE9AD5" w14:textId="77777777" w:rsidR="00EF26BC" w:rsidRDefault="00EF26BC">
            <w:pPr>
              <w:rPr>
                <w:sz w:val="7"/>
                <w:szCs w:val="7"/>
              </w:rPr>
            </w:pPr>
          </w:p>
        </w:tc>
        <w:tc>
          <w:tcPr>
            <w:tcW w:w="0" w:type="dxa"/>
            <w:vAlign w:val="bottom"/>
          </w:tcPr>
          <w:p w14:paraId="78AE9AD6" w14:textId="77777777" w:rsidR="00EF26BC" w:rsidRDefault="00EF26BC">
            <w:pPr>
              <w:rPr>
                <w:sz w:val="1"/>
                <w:szCs w:val="1"/>
              </w:rPr>
            </w:pPr>
          </w:p>
        </w:tc>
      </w:tr>
      <w:tr w:rsidR="00EF26BC" w14:paraId="78AE9ADC" w14:textId="77777777">
        <w:trPr>
          <w:trHeight w:val="36"/>
        </w:trPr>
        <w:tc>
          <w:tcPr>
            <w:tcW w:w="700" w:type="dxa"/>
            <w:tcBorders>
              <w:left w:val="single" w:sz="8" w:space="0" w:color="auto"/>
              <w:bottom w:val="single" w:sz="8" w:space="0" w:color="auto"/>
              <w:right w:val="single" w:sz="8" w:space="0" w:color="auto"/>
            </w:tcBorders>
            <w:vAlign w:val="bottom"/>
          </w:tcPr>
          <w:p w14:paraId="78AE9AD8" w14:textId="77777777" w:rsidR="00EF26BC" w:rsidRDefault="00EF26BC">
            <w:pPr>
              <w:rPr>
                <w:sz w:val="3"/>
                <w:szCs w:val="3"/>
              </w:rPr>
            </w:pPr>
          </w:p>
        </w:tc>
        <w:tc>
          <w:tcPr>
            <w:tcW w:w="1480" w:type="dxa"/>
            <w:vMerge/>
            <w:tcBorders>
              <w:bottom w:val="single" w:sz="8" w:space="0" w:color="auto"/>
              <w:right w:val="single" w:sz="8" w:space="0" w:color="auto"/>
            </w:tcBorders>
            <w:vAlign w:val="bottom"/>
          </w:tcPr>
          <w:p w14:paraId="78AE9AD9" w14:textId="77777777" w:rsidR="00EF26BC" w:rsidRDefault="00EF26BC">
            <w:pPr>
              <w:rPr>
                <w:sz w:val="3"/>
                <w:szCs w:val="3"/>
              </w:rPr>
            </w:pPr>
          </w:p>
        </w:tc>
        <w:tc>
          <w:tcPr>
            <w:tcW w:w="600" w:type="dxa"/>
            <w:tcBorders>
              <w:bottom w:val="single" w:sz="8" w:space="0" w:color="auto"/>
              <w:right w:val="single" w:sz="8" w:space="0" w:color="auto"/>
            </w:tcBorders>
            <w:vAlign w:val="bottom"/>
          </w:tcPr>
          <w:p w14:paraId="78AE9ADA" w14:textId="77777777" w:rsidR="00EF26BC" w:rsidRDefault="00EF26BC">
            <w:pPr>
              <w:rPr>
                <w:sz w:val="3"/>
                <w:szCs w:val="3"/>
              </w:rPr>
            </w:pPr>
          </w:p>
        </w:tc>
        <w:tc>
          <w:tcPr>
            <w:tcW w:w="0" w:type="dxa"/>
            <w:vAlign w:val="bottom"/>
          </w:tcPr>
          <w:p w14:paraId="78AE9ADB" w14:textId="77777777" w:rsidR="00EF26BC" w:rsidRDefault="00EF26BC">
            <w:pPr>
              <w:rPr>
                <w:sz w:val="1"/>
                <w:szCs w:val="1"/>
              </w:rPr>
            </w:pPr>
          </w:p>
        </w:tc>
      </w:tr>
      <w:tr w:rsidR="00EF26BC" w14:paraId="78AE9AE1" w14:textId="77777777">
        <w:trPr>
          <w:trHeight w:val="108"/>
        </w:trPr>
        <w:tc>
          <w:tcPr>
            <w:tcW w:w="700" w:type="dxa"/>
            <w:tcBorders>
              <w:left w:val="single" w:sz="8" w:space="0" w:color="auto"/>
              <w:bottom w:val="single" w:sz="8" w:space="0" w:color="auto"/>
              <w:right w:val="single" w:sz="8" w:space="0" w:color="auto"/>
            </w:tcBorders>
            <w:vAlign w:val="bottom"/>
          </w:tcPr>
          <w:p w14:paraId="78AE9ADD" w14:textId="77777777" w:rsidR="00EF26BC" w:rsidRDefault="00343DF1">
            <w:pPr>
              <w:spacing w:line="109" w:lineRule="exact"/>
              <w:ind w:left="60"/>
              <w:rPr>
                <w:sz w:val="20"/>
                <w:szCs w:val="20"/>
              </w:rPr>
            </w:pPr>
            <w:r>
              <w:rPr>
                <w:rFonts w:ascii="Arial" w:eastAsia="Arial" w:hAnsi="Arial" w:cs="Arial"/>
                <w:sz w:val="10"/>
                <w:szCs w:val="10"/>
              </w:rPr>
              <w:t>San Jose</w:t>
            </w:r>
          </w:p>
        </w:tc>
        <w:tc>
          <w:tcPr>
            <w:tcW w:w="1480" w:type="dxa"/>
            <w:tcBorders>
              <w:bottom w:val="single" w:sz="8" w:space="0" w:color="auto"/>
              <w:right w:val="single" w:sz="8" w:space="0" w:color="auto"/>
            </w:tcBorders>
            <w:shd w:val="clear" w:color="auto" w:fill="FDCCB8"/>
            <w:vAlign w:val="bottom"/>
          </w:tcPr>
          <w:p w14:paraId="78AE9ADE" w14:textId="77777777" w:rsidR="00EF26BC" w:rsidRDefault="00343DF1">
            <w:pPr>
              <w:spacing w:line="109" w:lineRule="exact"/>
              <w:jc w:val="center"/>
              <w:rPr>
                <w:sz w:val="20"/>
                <w:szCs w:val="20"/>
              </w:rPr>
            </w:pPr>
            <w:r>
              <w:rPr>
                <w:rFonts w:ascii="Arial" w:eastAsia="Arial" w:hAnsi="Arial" w:cs="Arial"/>
                <w:sz w:val="10"/>
                <w:szCs w:val="10"/>
              </w:rPr>
              <w:t>8,38</w:t>
            </w:r>
          </w:p>
        </w:tc>
        <w:tc>
          <w:tcPr>
            <w:tcW w:w="600" w:type="dxa"/>
            <w:tcBorders>
              <w:bottom w:val="single" w:sz="8" w:space="0" w:color="auto"/>
              <w:right w:val="single" w:sz="8" w:space="0" w:color="auto"/>
            </w:tcBorders>
            <w:vAlign w:val="bottom"/>
          </w:tcPr>
          <w:p w14:paraId="78AE9ADF" w14:textId="77777777" w:rsidR="00EF26BC" w:rsidRDefault="00343DF1">
            <w:pPr>
              <w:spacing w:line="109" w:lineRule="exact"/>
              <w:jc w:val="center"/>
              <w:rPr>
                <w:sz w:val="20"/>
                <w:szCs w:val="20"/>
              </w:rPr>
            </w:pPr>
            <w:r>
              <w:rPr>
                <w:rFonts w:ascii="Arial" w:eastAsia="Arial" w:hAnsi="Arial" w:cs="Arial"/>
                <w:sz w:val="10"/>
                <w:szCs w:val="10"/>
              </w:rPr>
              <w:t>4</w:t>
            </w:r>
          </w:p>
        </w:tc>
        <w:tc>
          <w:tcPr>
            <w:tcW w:w="0" w:type="dxa"/>
            <w:vAlign w:val="bottom"/>
          </w:tcPr>
          <w:p w14:paraId="78AE9AE0" w14:textId="77777777" w:rsidR="00EF26BC" w:rsidRDefault="00EF26BC">
            <w:pPr>
              <w:rPr>
                <w:sz w:val="1"/>
                <w:szCs w:val="1"/>
              </w:rPr>
            </w:pPr>
          </w:p>
        </w:tc>
      </w:tr>
      <w:tr w:rsidR="00EF26BC" w14:paraId="78AE9AE6" w14:textId="77777777">
        <w:trPr>
          <w:trHeight w:val="108"/>
        </w:trPr>
        <w:tc>
          <w:tcPr>
            <w:tcW w:w="700" w:type="dxa"/>
            <w:tcBorders>
              <w:left w:val="single" w:sz="8" w:space="0" w:color="auto"/>
              <w:bottom w:val="single" w:sz="8" w:space="0" w:color="auto"/>
              <w:right w:val="single" w:sz="8" w:space="0" w:color="auto"/>
            </w:tcBorders>
            <w:vAlign w:val="bottom"/>
          </w:tcPr>
          <w:p w14:paraId="78AE9AE2" w14:textId="77777777" w:rsidR="00EF26BC" w:rsidRDefault="00343DF1">
            <w:pPr>
              <w:spacing w:line="109" w:lineRule="exact"/>
              <w:ind w:left="60"/>
              <w:rPr>
                <w:sz w:val="20"/>
                <w:szCs w:val="20"/>
              </w:rPr>
            </w:pPr>
            <w:r>
              <w:rPr>
                <w:rFonts w:ascii="Arial" w:eastAsia="Arial" w:hAnsi="Arial" w:cs="Arial"/>
                <w:sz w:val="10"/>
                <w:szCs w:val="10"/>
              </w:rPr>
              <w:t>Cartago</w:t>
            </w:r>
          </w:p>
        </w:tc>
        <w:tc>
          <w:tcPr>
            <w:tcW w:w="1480" w:type="dxa"/>
            <w:tcBorders>
              <w:bottom w:val="single" w:sz="8" w:space="0" w:color="auto"/>
              <w:right w:val="single" w:sz="8" w:space="0" w:color="auto"/>
            </w:tcBorders>
            <w:shd w:val="clear" w:color="auto" w:fill="FFF5F0"/>
            <w:vAlign w:val="bottom"/>
          </w:tcPr>
          <w:p w14:paraId="78AE9AE3" w14:textId="77777777" w:rsidR="00EF26BC" w:rsidRDefault="00343DF1">
            <w:pPr>
              <w:spacing w:line="109" w:lineRule="exact"/>
              <w:jc w:val="center"/>
              <w:rPr>
                <w:sz w:val="20"/>
                <w:szCs w:val="20"/>
              </w:rPr>
            </w:pPr>
            <w:r>
              <w:rPr>
                <w:rFonts w:ascii="Arial" w:eastAsia="Arial" w:hAnsi="Arial" w:cs="Arial"/>
                <w:sz w:val="10"/>
                <w:szCs w:val="10"/>
              </w:rPr>
              <w:t>7,47</w:t>
            </w:r>
          </w:p>
        </w:tc>
        <w:tc>
          <w:tcPr>
            <w:tcW w:w="600" w:type="dxa"/>
            <w:tcBorders>
              <w:bottom w:val="single" w:sz="8" w:space="0" w:color="auto"/>
              <w:right w:val="single" w:sz="8" w:space="0" w:color="auto"/>
            </w:tcBorders>
            <w:vAlign w:val="bottom"/>
          </w:tcPr>
          <w:p w14:paraId="78AE9AE4" w14:textId="77777777" w:rsidR="00EF26BC" w:rsidRDefault="00343DF1">
            <w:pPr>
              <w:spacing w:line="109" w:lineRule="exact"/>
              <w:jc w:val="center"/>
              <w:rPr>
                <w:sz w:val="20"/>
                <w:szCs w:val="20"/>
              </w:rPr>
            </w:pPr>
            <w:r>
              <w:rPr>
                <w:rFonts w:ascii="Arial" w:eastAsia="Arial" w:hAnsi="Arial" w:cs="Arial"/>
                <w:sz w:val="10"/>
                <w:szCs w:val="10"/>
              </w:rPr>
              <w:t>2</w:t>
            </w:r>
          </w:p>
        </w:tc>
        <w:tc>
          <w:tcPr>
            <w:tcW w:w="0" w:type="dxa"/>
            <w:vAlign w:val="bottom"/>
          </w:tcPr>
          <w:p w14:paraId="78AE9AE5" w14:textId="77777777" w:rsidR="00EF26BC" w:rsidRDefault="00EF26BC">
            <w:pPr>
              <w:rPr>
                <w:sz w:val="1"/>
                <w:szCs w:val="1"/>
              </w:rPr>
            </w:pPr>
          </w:p>
        </w:tc>
      </w:tr>
      <w:tr w:rsidR="00EF26BC" w14:paraId="78AE9AEB" w14:textId="77777777">
        <w:trPr>
          <w:trHeight w:val="108"/>
        </w:trPr>
        <w:tc>
          <w:tcPr>
            <w:tcW w:w="700" w:type="dxa"/>
            <w:tcBorders>
              <w:left w:val="single" w:sz="8" w:space="0" w:color="auto"/>
              <w:bottom w:val="single" w:sz="8" w:space="0" w:color="auto"/>
              <w:right w:val="single" w:sz="8" w:space="0" w:color="auto"/>
            </w:tcBorders>
            <w:vAlign w:val="bottom"/>
          </w:tcPr>
          <w:p w14:paraId="78AE9AE7" w14:textId="77777777" w:rsidR="00EF26BC" w:rsidRDefault="00343DF1">
            <w:pPr>
              <w:spacing w:line="109" w:lineRule="exact"/>
              <w:ind w:left="60"/>
              <w:rPr>
                <w:sz w:val="20"/>
                <w:szCs w:val="20"/>
              </w:rPr>
            </w:pPr>
            <w:r>
              <w:rPr>
                <w:rFonts w:ascii="Arial" w:eastAsia="Arial" w:hAnsi="Arial" w:cs="Arial"/>
                <w:sz w:val="10"/>
                <w:szCs w:val="10"/>
              </w:rPr>
              <w:t>Alajuela</w:t>
            </w:r>
          </w:p>
        </w:tc>
        <w:tc>
          <w:tcPr>
            <w:tcW w:w="1480" w:type="dxa"/>
            <w:tcBorders>
              <w:bottom w:val="single" w:sz="8" w:space="0" w:color="auto"/>
              <w:right w:val="single" w:sz="8" w:space="0" w:color="auto"/>
            </w:tcBorders>
            <w:shd w:val="clear" w:color="auto" w:fill="F54D38"/>
            <w:vAlign w:val="bottom"/>
          </w:tcPr>
          <w:p w14:paraId="78AE9AE8" w14:textId="77777777" w:rsidR="00EF26BC" w:rsidRDefault="00343DF1">
            <w:pPr>
              <w:spacing w:line="109" w:lineRule="exact"/>
              <w:jc w:val="center"/>
              <w:rPr>
                <w:sz w:val="20"/>
                <w:szCs w:val="20"/>
              </w:rPr>
            </w:pPr>
            <w:r>
              <w:rPr>
                <w:rFonts w:ascii="Arial" w:eastAsia="Arial" w:hAnsi="Arial" w:cs="Arial"/>
                <w:sz w:val="10"/>
                <w:szCs w:val="10"/>
              </w:rPr>
              <w:t>9,22</w:t>
            </w:r>
          </w:p>
        </w:tc>
        <w:tc>
          <w:tcPr>
            <w:tcW w:w="600" w:type="dxa"/>
            <w:tcBorders>
              <w:bottom w:val="single" w:sz="8" w:space="0" w:color="auto"/>
              <w:right w:val="single" w:sz="8" w:space="0" w:color="auto"/>
            </w:tcBorders>
            <w:vAlign w:val="bottom"/>
          </w:tcPr>
          <w:p w14:paraId="78AE9AE9" w14:textId="77777777" w:rsidR="00EF26BC" w:rsidRDefault="00343DF1">
            <w:pPr>
              <w:spacing w:line="109" w:lineRule="exact"/>
              <w:jc w:val="center"/>
              <w:rPr>
                <w:sz w:val="20"/>
                <w:szCs w:val="20"/>
              </w:rPr>
            </w:pPr>
            <w:r>
              <w:rPr>
                <w:rFonts w:ascii="Arial" w:eastAsia="Arial" w:hAnsi="Arial" w:cs="Arial"/>
                <w:sz w:val="10"/>
                <w:szCs w:val="10"/>
              </w:rPr>
              <w:t>4</w:t>
            </w:r>
          </w:p>
        </w:tc>
        <w:tc>
          <w:tcPr>
            <w:tcW w:w="0" w:type="dxa"/>
            <w:vAlign w:val="bottom"/>
          </w:tcPr>
          <w:p w14:paraId="78AE9AEA" w14:textId="77777777" w:rsidR="00EF26BC" w:rsidRDefault="00EF26BC">
            <w:pPr>
              <w:rPr>
                <w:sz w:val="1"/>
                <w:szCs w:val="1"/>
              </w:rPr>
            </w:pPr>
          </w:p>
        </w:tc>
      </w:tr>
      <w:tr w:rsidR="00EF26BC" w14:paraId="78AE9AF0" w14:textId="77777777">
        <w:trPr>
          <w:trHeight w:val="108"/>
        </w:trPr>
        <w:tc>
          <w:tcPr>
            <w:tcW w:w="700" w:type="dxa"/>
            <w:tcBorders>
              <w:left w:val="single" w:sz="8" w:space="0" w:color="auto"/>
              <w:bottom w:val="single" w:sz="8" w:space="0" w:color="auto"/>
              <w:right w:val="single" w:sz="8" w:space="0" w:color="auto"/>
            </w:tcBorders>
            <w:vAlign w:val="bottom"/>
          </w:tcPr>
          <w:p w14:paraId="78AE9AEC" w14:textId="77777777" w:rsidR="00EF26BC" w:rsidRDefault="00343DF1">
            <w:pPr>
              <w:spacing w:line="109" w:lineRule="exact"/>
              <w:ind w:left="60"/>
              <w:rPr>
                <w:sz w:val="20"/>
                <w:szCs w:val="20"/>
              </w:rPr>
            </w:pPr>
            <w:r>
              <w:rPr>
                <w:rFonts w:ascii="Arial" w:eastAsia="Arial" w:hAnsi="Arial" w:cs="Arial"/>
                <w:sz w:val="10"/>
                <w:szCs w:val="10"/>
              </w:rPr>
              <w:t>Heredia</w:t>
            </w:r>
          </w:p>
        </w:tc>
        <w:tc>
          <w:tcPr>
            <w:tcW w:w="1480" w:type="dxa"/>
            <w:tcBorders>
              <w:bottom w:val="single" w:sz="8" w:space="0" w:color="auto"/>
              <w:right w:val="single" w:sz="8" w:space="0" w:color="auto"/>
            </w:tcBorders>
            <w:shd w:val="clear" w:color="auto" w:fill="FCB398"/>
            <w:vAlign w:val="bottom"/>
          </w:tcPr>
          <w:p w14:paraId="78AE9AED" w14:textId="77777777" w:rsidR="00EF26BC" w:rsidRDefault="00343DF1">
            <w:pPr>
              <w:spacing w:line="109" w:lineRule="exact"/>
              <w:jc w:val="center"/>
              <w:rPr>
                <w:sz w:val="20"/>
                <w:szCs w:val="20"/>
              </w:rPr>
            </w:pPr>
            <w:r>
              <w:rPr>
                <w:rFonts w:ascii="Arial" w:eastAsia="Arial" w:hAnsi="Arial" w:cs="Arial"/>
                <w:sz w:val="10"/>
                <w:szCs w:val="10"/>
              </w:rPr>
              <w:t>8,48</w:t>
            </w:r>
          </w:p>
        </w:tc>
        <w:tc>
          <w:tcPr>
            <w:tcW w:w="600" w:type="dxa"/>
            <w:tcBorders>
              <w:bottom w:val="single" w:sz="8" w:space="0" w:color="auto"/>
              <w:right w:val="single" w:sz="8" w:space="0" w:color="auto"/>
            </w:tcBorders>
            <w:vAlign w:val="bottom"/>
          </w:tcPr>
          <w:p w14:paraId="78AE9AEE" w14:textId="77777777" w:rsidR="00EF26BC" w:rsidRDefault="00343DF1">
            <w:pPr>
              <w:spacing w:line="109" w:lineRule="exact"/>
              <w:jc w:val="center"/>
              <w:rPr>
                <w:sz w:val="20"/>
                <w:szCs w:val="20"/>
              </w:rPr>
            </w:pPr>
            <w:r>
              <w:rPr>
                <w:rFonts w:ascii="Arial" w:eastAsia="Arial" w:hAnsi="Arial" w:cs="Arial"/>
                <w:sz w:val="10"/>
                <w:szCs w:val="10"/>
              </w:rPr>
              <w:t>4</w:t>
            </w:r>
          </w:p>
        </w:tc>
        <w:tc>
          <w:tcPr>
            <w:tcW w:w="0" w:type="dxa"/>
            <w:vAlign w:val="bottom"/>
          </w:tcPr>
          <w:p w14:paraId="78AE9AEF" w14:textId="77777777" w:rsidR="00EF26BC" w:rsidRDefault="00EF26BC">
            <w:pPr>
              <w:rPr>
                <w:sz w:val="1"/>
                <w:szCs w:val="1"/>
              </w:rPr>
            </w:pPr>
          </w:p>
        </w:tc>
      </w:tr>
      <w:tr w:rsidR="00EF26BC" w14:paraId="78AE9AF5" w14:textId="77777777">
        <w:trPr>
          <w:trHeight w:val="108"/>
        </w:trPr>
        <w:tc>
          <w:tcPr>
            <w:tcW w:w="700" w:type="dxa"/>
            <w:tcBorders>
              <w:left w:val="single" w:sz="8" w:space="0" w:color="auto"/>
              <w:bottom w:val="single" w:sz="8" w:space="0" w:color="auto"/>
              <w:right w:val="single" w:sz="8" w:space="0" w:color="auto"/>
            </w:tcBorders>
            <w:vAlign w:val="bottom"/>
          </w:tcPr>
          <w:p w14:paraId="78AE9AF1" w14:textId="77777777" w:rsidR="00EF26BC" w:rsidRDefault="00343DF1">
            <w:pPr>
              <w:spacing w:line="109" w:lineRule="exact"/>
              <w:ind w:left="60"/>
              <w:rPr>
                <w:sz w:val="20"/>
                <w:szCs w:val="20"/>
              </w:rPr>
            </w:pPr>
            <w:r>
              <w:rPr>
                <w:rFonts w:ascii="Arial" w:eastAsia="Arial" w:hAnsi="Arial" w:cs="Arial"/>
                <w:sz w:val="10"/>
                <w:szCs w:val="10"/>
              </w:rPr>
              <w:t>Guanacaste</w:t>
            </w:r>
          </w:p>
        </w:tc>
        <w:tc>
          <w:tcPr>
            <w:tcW w:w="1480" w:type="dxa"/>
            <w:tcBorders>
              <w:bottom w:val="single" w:sz="8" w:space="0" w:color="auto"/>
              <w:right w:val="single" w:sz="8" w:space="0" w:color="auto"/>
            </w:tcBorders>
            <w:shd w:val="clear" w:color="auto" w:fill="DE2A25"/>
            <w:vAlign w:val="bottom"/>
          </w:tcPr>
          <w:p w14:paraId="78AE9AF2" w14:textId="77777777" w:rsidR="00EF26BC" w:rsidRDefault="00343DF1">
            <w:pPr>
              <w:spacing w:line="109" w:lineRule="exact"/>
              <w:jc w:val="center"/>
              <w:rPr>
                <w:sz w:val="20"/>
                <w:szCs w:val="20"/>
              </w:rPr>
            </w:pPr>
            <w:r>
              <w:rPr>
                <w:rFonts w:ascii="Arial" w:eastAsia="Arial" w:hAnsi="Arial" w:cs="Arial"/>
                <w:w w:val="95"/>
                <w:sz w:val="10"/>
                <w:szCs w:val="10"/>
              </w:rPr>
              <w:t>14,30</w:t>
            </w:r>
          </w:p>
        </w:tc>
        <w:tc>
          <w:tcPr>
            <w:tcW w:w="600" w:type="dxa"/>
            <w:tcBorders>
              <w:bottom w:val="single" w:sz="8" w:space="0" w:color="auto"/>
              <w:right w:val="single" w:sz="8" w:space="0" w:color="auto"/>
            </w:tcBorders>
            <w:vAlign w:val="bottom"/>
          </w:tcPr>
          <w:p w14:paraId="78AE9AF3" w14:textId="77777777" w:rsidR="00EF26BC" w:rsidRDefault="00343DF1">
            <w:pPr>
              <w:spacing w:line="109" w:lineRule="exact"/>
              <w:jc w:val="center"/>
              <w:rPr>
                <w:sz w:val="20"/>
                <w:szCs w:val="20"/>
              </w:rPr>
            </w:pPr>
            <w:r>
              <w:rPr>
                <w:rFonts w:ascii="Arial" w:eastAsia="Arial" w:hAnsi="Arial" w:cs="Arial"/>
                <w:sz w:val="10"/>
                <w:szCs w:val="10"/>
              </w:rPr>
              <w:t>2</w:t>
            </w:r>
          </w:p>
        </w:tc>
        <w:tc>
          <w:tcPr>
            <w:tcW w:w="0" w:type="dxa"/>
            <w:vAlign w:val="bottom"/>
          </w:tcPr>
          <w:p w14:paraId="78AE9AF4" w14:textId="77777777" w:rsidR="00EF26BC" w:rsidRDefault="00EF26BC">
            <w:pPr>
              <w:rPr>
                <w:sz w:val="1"/>
                <w:szCs w:val="1"/>
              </w:rPr>
            </w:pPr>
          </w:p>
        </w:tc>
      </w:tr>
      <w:tr w:rsidR="00EF26BC" w14:paraId="78AE9AFA" w14:textId="77777777">
        <w:trPr>
          <w:trHeight w:val="115"/>
        </w:trPr>
        <w:tc>
          <w:tcPr>
            <w:tcW w:w="700" w:type="dxa"/>
            <w:tcBorders>
              <w:left w:val="single" w:sz="8" w:space="0" w:color="auto"/>
              <w:bottom w:val="single" w:sz="8" w:space="0" w:color="auto"/>
              <w:right w:val="single" w:sz="8" w:space="0" w:color="auto"/>
            </w:tcBorders>
            <w:vAlign w:val="bottom"/>
          </w:tcPr>
          <w:p w14:paraId="78AE9AF6" w14:textId="77777777" w:rsidR="00EF26BC" w:rsidRDefault="00343DF1">
            <w:pPr>
              <w:ind w:left="60"/>
              <w:rPr>
                <w:sz w:val="20"/>
                <w:szCs w:val="20"/>
              </w:rPr>
            </w:pPr>
            <w:r>
              <w:rPr>
                <w:rFonts w:ascii="Arial" w:eastAsia="Arial" w:hAnsi="Arial" w:cs="Arial"/>
                <w:sz w:val="10"/>
                <w:szCs w:val="10"/>
              </w:rPr>
              <w:t>Puntarenas</w:t>
            </w:r>
          </w:p>
        </w:tc>
        <w:tc>
          <w:tcPr>
            <w:tcW w:w="1480" w:type="dxa"/>
            <w:tcBorders>
              <w:bottom w:val="single" w:sz="8" w:space="0" w:color="auto"/>
              <w:right w:val="single" w:sz="8" w:space="0" w:color="auto"/>
            </w:tcBorders>
            <w:shd w:val="clear" w:color="auto" w:fill="C6161C"/>
            <w:vAlign w:val="bottom"/>
          </w:tcPr>
          <w:p w14:paraId="78AE9AF7" w14:textId="77777777" w:rsidR="00EF26BC" w:rsidRDefault="00343DF1">
            <w:pPr>
              <w:jc w:val="center"/>
              <w:rPr>
                <w:sz w:val="20"/>
                <w:szCs w:val="20"/>
              </w:rPr>
            </w:pPr>
            <w:r>
              <w:rPr>
                <w:rFonts w:ascii="Arial" w:eastAsia="Arial" w:hAnsi="Arial" w:cs="Arial"/>
                <w:w w:val="95"/>
                <w:sz w:val="10"/>
                <w:szCs w:val="10"/>
              </w:rPr>
              <w:t>15,76</w:t>
            </w:r>
          </w:p>
        </w:tc>
        <w:tc>
          <w:tcPr>
            <w:tcW w:w="600" w:type="dxa"/>
            <w:tcBorders>
              <w:bottom w:val="single" w:sz="8" w:space="0" w:color="auto"/>
              <w:right w:val="single" w:sz="8" w:space="0" w:color="auto"/>
            </w:tcBorders>
            <w:vAlign w:val="bottom"/>
          </w:tcPr>
          <w:p w14:paraId="78AE9AF8" w14:textId="77777777" w:rsidR="00EF26BC" w:rsidRDefault="00343DF1">
            <w:pPr>
              <w:jc w:val="center"/>
              <w:rPr>
                <w:sz w:val="20"/>
                <w:szCs w:val="20"/>
              </w:rPr>
            </w:pPr>
            <w:r>
              <w:rPr>
                <w:rFonts w:ascii="Arial" w:eastAsia="Arial" w:hAnsi="Arial" w:cs="Arial"/>
                <w:sz w:val="10"/>
                <w:szCs w:val="10"/>
              </w:rPr>
              <w:t>5</w:t>
            </w:r>
          </w:p>
        </w:tc>
        <w:tc>
          <w:tcPr>
            <w:tcW w:w="0" w:type="dxa"/>
            <w:vAlign w:val="bottom"/>
          </w:tcPr>
          <w:p w14:paraId="78AE9AF9" w14:textId="77777777" w:rsidR="00EF26BC" w:rsidRDefault="00EF26BC">
            <w:pPr>
              <w:rPr>
                <w:sz w:val="1"/>
                <w:szCs w:val="1"/>
              </w:rPr>
            </w:pPr>
          </w:p>
        </w:tc>
      </w:tr>
      <w:tr w:rsidR="00EF26BC" w14:paraId="78AE9AFF" w14:textId="77777777">
        <w:trPr>
          <w:trHeight w:val="108"/>
        </w:trPr>
        <w:tc>
          <w:tcPr>
            <w:tcW w:w="700" w:type="dxa"/>
            <w:tcBorders>
              <w:left w:val="single" w:sz="8" w:space="0" w:color="auto"/>
              <w:bottom w:val="single" w:sz="8" w:space="0" w:color="auto"/>
              <w:right w:val="single" w:sz="8" w:space="0" w:color="auto"/>
            </w:tcBorders>
            <w:vAlign w:val="bottom"/>
          </w:tcPr>
          <w:p w14:paraId="78AE9AFB" w14:textId="77777777" w:rsidR="00EF26BC" w:rsidRDefault="00343DF1">
            <w:pPr>
              <w:spacing w:line="109" w:lineRule="exact"/>
              <w:ind w:left="60"/>
              <w:rPr>
                <w:sz w:val="20"/>
                <w:szCs w:val="20"/>
              </w:rPr>
            </w:pPr>
            <w:r>
              <w:rPr>
                <w:rFonts w:ascii="Arial" w:eastAsia="Arial" w:hAnsi="Arial" w:cs="Arial"/>
                <w:sz w:val="10"/>
                <w:szCs w:val="10"/>
              </w:rPr>
              <w:t>Limon</w:t>
            </w:r>
          </w:p>
        </w:tc>
        <w:tc>
          <w:tcPr>
            <w:tcW w:w="1480" w:type="dxa"/>
            <w:tcBorders>
              <w:bottom w:val="single" w:sz="8" w:space="0" w:color="auto"/>
              <w:right w:val="single" w:sz="8" w:space="0" w:color="auto"/>
            </w:tcBorders>
            <w:shd w:val="clear" w:color="auto" w:fill="FD8F6F"/>
            <w:vAlign w:val="bottom"/>
          </w:tcPr>
          <w:p w14:paraId="78AE9AFC" w14:textId="77777777" w:rsidR="00EF26BC" w:rsidRDefault="00343DF1">
            <w:pPr>
              <w:spacing w:line="109" w:lineRule="exact"/>
              <w:jc w:val="center"/>
              <w:rPr>
                <w:sz w:val="20"/>
                <w:szCs w:val="20"/>
              </w:rPr>
            </w:pPr>
            <w:r>
              <w:rPr>
                <w:rFonts w:ascii="Arial" w:eastAsia="Arial" w:hAnsi="Arial" w:cs="Arial"/>
                <w:sz w:val="10"/>
                <w:szCs w:val="10"/>
              </w:rPr>
              <w:t>9,14</w:t>
            </w:r>
          </w:p>
        </w:tc>
        <w:tc>
          <w:tcPr>
            <w:tcW w:w="600" w:type="dxa"/>
            <w:tcBorders>
              <w:bottom w:val="single" w:sz="8" w:space="0" w:color="auto"/>
              <w:right w:val="single" w:sz="8" w:space="0" w:color="auto"/>
            </w:tcBorders>
            <w:vAlign w:val="bottom"/>
          </w:tcPr>
          <w:p w14:paraId="78AE9AFD" w14:textId="77777777" w:rsidR="00EF26BC" w:rsidRDefault="00343DF1">
            <w:pPr>
              <w:spacing w:line="109" w:lineRule="exact"/>
              <w:jc w:val="center"/>
              <w:rPr>
                <w:sz w:val="20"/>
                <w:szCs w:val="20"/>
              </w:rPr>
            </w:pPr>
            <w:r>
              <w:rPr>
                <w:rFonts w:ascii="Arial" w:eastAsia="Arial" w:hAnsi="Arial" w:cs="Arial"/>
                <w:sz w:val="10"/>
                <w:szCs w:val="10"/>
              </w:rPr>
              <w:t>3</w:t>
            </w:r>
          </w:p>
        </w:tc>
        <w:tc>
          <w:tcPr>
            <w:tcW w:w="0" w:type="dxa"/>
            <w:vAlign w:val="bottom"/>
          </w:tcPr>
          <w:p w14:paraId="78AE9AFE" w14:textId="77777777" w:rsidR="00EF26BC" w:rsidRDefault="00EF26BC">
            <w:pPr>
              <w:rPr>
                <w:sz w:val="1"/>
                <w:szCs w:val="1"/>
              </w:rPr>
            </w:pPr>
          </w:p>
        </w:tc>
      </w:tr>
    </w:tbl>
    <w:p w14:paraId="78AE9B00" w14:textId="77777777" w:rsidR="00EF26BC" w:rsidRDefault="00EF26BC">
      <w:pPr>
        <w:spacing w:line="164" w:lineRule="exact"/>
        <w:rPr>
          <w:sz w:val="20"/>
          <w:szCs w:val="20"/>
        </w:rPr>
      </w:pPr>
    </w:p>
    <w:p w14:paraId="78AE9B01" w14:textId="77777777" w:rsidR="00EF26BC" w:rsidRDefault="00EF26BC">
      <w:pPr>
        <w:sectPr w:rsidR="00EF26BC">
          <w:type w:val="continuous"/>
          <w:pgSz w:w="12240" w:h="15840"/>
          <w:pgMar w:top="714" w:right="460" w:bottom="112" w:left="1440" w:header="0" w:footer="0" w:gutter="0"/>
          <w:cols w:num="2" w:space="720" w:equalWidth="0">
            <w:col w:w="5260" w:space="720"/>
            <w:col w:w="4360"/>
          </w:cols>
        </w:sectPr>
      </w:pPr>
    </w:p>
    <w:p w14:paraId="78AE9B02" w14:textId="77777777" w:rsidR="00EF26BC" w:rsidRDefault="00343DF1">
      <w:pPr>
        <w:spacing w:line="280" w:lineRule="auto"/>
        <w:ind w:left="820" w:right="1800"/>
        <w:jc w:val="both"/>
        <w:rPr>
          <w:sz w:val="20"/>
          <w:szCs w:val="20"/>
        </w:rPr>
      </w:pPr>
      <w:r>
        <w:rPr>
          <w:rFonts w:eastAsia="Times New Roman"/>
        </w:rPr>
        <w:t xml:space="preserve">Fuente: Elaboración propia con datos del Observatorio de Violencia de Género contra las </w:t>
      </w:r>
      <w:r>
        <w:rPr>
          <w:rFonts w:eastAsia="Times New Roman"/>
        </w:rPr>
        <w:t>Mujeres y el Acceso a la Justicia (2020).</w:t>
      </w:r>
    </w:p>
    <w:p w14:paraId="78AE9B03" w14:textId="77777777" w:rsidR="00EF26BC" w:rsidRDefault="00EF26BC">
      <w:pPr>
        <w:spacing w:line="192" w:lineRule="exact"/>
        <w:rPr>
          <w:sz w:val="20"/>
          <w:szCs w:val="20"/>
        </w:rPr>
      </w:pPr>
    </w:p>
    <w:p w14:paraId="78AE9B04" w14:textId="77777777" w:rsidR="00EF26BC" w:rsidRDefault="00343DF1">
      <w:pPr>
        <w:spacing w:line="243" w:lineRule="auto"/>
        <w:ind w:left="820" w:right="1820"/>
        <w:jc w:val="both"/>
        <w:rPr>
          <w:sz w:val="20"/>
          <w:szCs w:val="20"/>
        </w:rPr>
      </w:pPr>
      <w:r>
        <w:rPr>
          <w:rFonts w:eastAsia="Times New Roman"/>
          <w:sz w:val="24"/>
          <w:szCs w:val="24"/>
        </w:rPr>
        <w:t xml:space="preserve">Si vemos estos datos a la luz de la Encuesta Nacional de Hogares (Enaho) del año 2019, que realiza el Instituto Nacional de Estadística y Censos, se encuentran las regiones Brunca y Pacífico Central, con un 30,3% </w:t>
      </w:r>
      <w:r>
        <w:rPr>
          <w:rFonts w:eastAsia="Times New Roman"/>
          <w:sz w:val="24"/>
          <w:szCs w:val="24"/>
        </w:rPr>
        <w:t>y 29,8% de hogares en pobreza y un 9,2% y 9,1% en pobreza extrema respectivamente, lo que concuerda con la provincia con la mayor tasa de denuncias por violencia doméstica y más femicidios, que es Puntarenas y, adicionalmente, con poca presencia o cercanía</w:t>
      </w:r>
      <w:r>
        <w:rPr>
          <w:rFonts w:eastAsia="Times New Roman"/>
          <w:sz w:val="24"/>
          <w:szCs w:val="24"/>
        </w:rPr>
        <w:t xml:space="preserve"> de instituciones de prevención, atención y sanción de la violencia contra las mujeres. Esta relación indica la necesidad de trabajar con las mujeres de estas regiones en su autonomía económica, para que puedan contar no solo con las herramientas de protec</w:t>
      </w:r>
      <w:r>
        <w:rPr>
          <w:rFonts w:eastAsia="Times New Roman"/>
          <w:sz w:val="24"/>
          <w:szCs w:val="24"/>
        </w:rPr>
        <w:t>ción que el sistema judicial les brinda y procesos de empoderamiento, sino también con los medios económicos para no depender de su agresor.</w:t>
      </w:r>
    </w:p>
    <w:p w14:paraId="78AE9B05" w14:textId="77777777" w:rsidR="00EF26BC" w:rsidRDefault="00EF26BC">
      <w:pPr>
        <w:spacing w:line="176" w:lineRule="exact"/>
        <w:rPr>
          <w:sz w:val="20"/>
          <w:szCs w:val="20"/>
        </w:rPr>
      </w:pPr>
    </w:p>
    <w:p w14:paraId="78AE9B06" w14:textId="77777777" w:rsidR="00EF26BC" w:rsidRDefault="00343DF1">
      <w:pPr>
        <w:spacing w:line="269" w:lineRule="auto"/>
        <w:ind w:left="820" w:right="1820"/>
        <w:jc w:val="both"/>
        <w:rPr>
          <w:sz w:val="20"/>
          <w:szCs w:val="20"/>
        </w:rPr>
      </w:pPr>
      <w:r>
        <w:rPr>
          <w:rFonts w:eastAsia="Times New Roman"/>
          <w:sz w:val="23"/>
          <w:szCs w:val="23"/>
        </w:rPr>
        <w:t>Adicionalmente, es vital que la institucionalidad pública y las familias de estas mujeres entiendan, que una vícti</w:t>
      </w:r>
      <w:r>
        <w:rPr>
          <w:rFonts w:eastAsia="Times New Roman"/>
          <w:sz w:val="23"/>
          <w:szCs w:val="23"/>
        </w:rPr>
        <w:t>ma de violencia llega a tener un profundo sentimiento de indefensión que debilita su capacidad de solucionar problemas y la motivación para afrontarlos, favoreciendo de esta forma la permanencia de la mujer en la relación violenta (Seligman, 1975), no es q</w:t>
      </w:r>
      <w:r>
        <w:rPr>
          <w:rFonts w:eastAsia="Times New Roman"/>
          <w:sz w:val="23"/>
          <w:szCs w:val="23"/>
        </w:rPr>
        <w:t>ue les gusta vivir de esa forma, como muchas veces se afirma. Lenore Walker (1989) plantea que una mayor permanencia en una relación violenta puede estar relacionada con haber vivido más experiencias de indefensión en la infancia, por esto la importancia d</w:t>
      </w:r>
      <w:r>
        <w:rPr>
          <w:rFonts w:eastAsia="Times New Roman"/>
          <w:sz w:val="23"/>
          <w:szCs w:val="23"/>
        </w:rPr>
        <w:t>e</w:t>
      </w:r>
    </w:p>
    <w:p w14:paraId="78AE9B07" w14:textId="77777777" w:rsidR="00EF26BC" w:rsidRDefault="00EF26BC">
      <w:pPr>
        <w:spacing w:line="200" w:lineRule="exact"/>
        <w:rPr>
          <w:sz w:val="20"/>
          <w:szCs w:val="20"/>
        </w:rPr>
      </w:pPr>
    </w:p>
    <w:p w14:paraId="78AE9B08" w14:textId="77777777" w:rsidR="00EF26BC" w:rsidRDefault="00EF26BC">
      <w:pPr>
        <w:spacing w:line="271"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B0C" w14:textId="77777777">
        <w:trPr>
          <w:trHeight w:val="240"/>
        </w:trPr>
        <w:tc>
          <w:tcPr>
            <w:tcW w:w="6940" w:type="dxa"/>
            <w:vAlign w:val="bottom"/>
          </w:tcPr>
          <w:p w14:paraId="78AE9B09"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0A" w14:textId="77777777" w:rsidR="00EF26BC" w:rsidRDefault="00343DF1">
            <w:pPr>
              <w:jc w:val="right"/>
              <w:rPr>
                <w:sz w:val="20"/>
                <w:szCs w:val="20"/>
              </w:rPr>
            </w:pPr>
            <w:r>
              <w:rPr>
                <w:rFonts w:ascii="Arial" w:eastAsia="Arial" w:hAnsi="Arial" w:cs="Arial"/>
              </w:rPr>
              <w:t>108</w:t>
            </w:r>
          </w:p>
        </w:tc>
        <w:tc>
          <w:tcPr>
            <w:tcW w:w="0" w:type="dxa"/>
            <w:vAlign w:val="bottom"/>
          </w:tcPr>
          <w:p w14:paraId="78AE9B0B" w14:textId="77777777" w:rsidR="00EF26BC" w:rsidRDefault="00EF26BC">
            <w:pPr>
              <w:rPr>
                <w:sz w:val="1"/>
                <w:szCs w:val="1"/>
              </w:rPr>
            </w:pPr>
          </w:p>
        </w:tc>
      </w:tr>
      <w:tr w:rsidR="00EF26BC" w14:paraId="78AE9B10" w14:textId="77777777">
        <w:trPr>
          <w:trHeight w:val="270"/>
        </w:trPr>
        <w:tc>
          <w:tcPr>
            <w:tcW w:w="6940" w:type="dxa"/>
            <w:vAlign w:val="bottom"/>
          </w:tcPr>
          <w:p w14:paraId="78AE9B0D"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B0E" w14:textId="77777777" w:rsidR="00EF26BC" w:rsidRDefault="00EF26BC">
            <w:pPr>
              <w:rPr>
                <w:sz w:val="23"/>
                <w:szCs w:val="23"/>
              </w:rPr>
            </w:pPr>
          </w:p>
        </w:tc>
        <w:tc>
          <w:tcPr>
            <w:tcW w:w="0" w:type="dxa"/>
            <w:vAlign w:val="bottom"/>
          </w:tcPr>
          <w:p w14:paraId="78AE9B0F" w14:textId="77777777" w:rsidR="00EF26BC" w:rsidRDefault="00EF26BC">
            <w:pPr>
              <w:rPr>
                <w:sz w:val="1"/>
                <w:szCs w:val="1"/>
              </w:rPr>
            </w:pPr>
          </w:p>
        </w:tc>
      </w:tr>
    </w:tbl>
    <w:p w14:paraId="78AE9B11" w14:textId="77777777" w:rsidR="00EF26BC" w:rsidRDefault="00EF26BC">
      <w:pPr>
        <w:sectPr w:rsidR="00EF26BC">
          <w:type w:val="continuous"/>
          <w:pgSz w:w="12240" w:h="15840"/>
          <w:pgMar w:top="714" w:right="460" w:bottom="112" w:left="1440" w:header="0" w:footer="0" w:gutter="0"/>
          <w:cols w:space="720" w:equalWidth="0">
            <w:col w:w="10340"/>
          </w:cols>
        </w:sectPr>
      </w:pPr>
    </w:p>
    <w:p w14:paraId="78AE9B12" w14:textId="77777777" w:rsidR="00EF26BC" w:rsidRDefault="00343DF1">
      <w:pPr>
        <w:ind w:left="2960"/>
        <w:rPr>
          <w:sz w:val="20"/>
          <w:szCs w:val="20"/>
        </w:rPr>
      </w:pPr>
      <w:bookmarkStart w:id="20" w:name="page21"/>
      <w:bookmarkEnd w:id="20"/>
      <w:r>
        <w:rPr>
          <w:rFonts w:ascii="Arial" w:eastAsia="Arial" w:hAnsi="Arial" w:cs="Arial"/>
          <w:sz w:val="20"/>
          <w:szCs w:val="20"/>
        </w:rPr>
        <w:lastRenderedPageBreak/>
        <w:t>Violencia contra las mujeres y femicidio</w:t>
      </w:r>
    </w:p>
    <w:p w14:paraId="78AE9B13" w14:textId="77777777" w:rsidR="00EF26BC" w:rsidRDefault="00EF26BC">
      <w:pPr>
        <w:spacing w:line="200" w:lineRule="exact"/>
        <w:rPr>
          <w:sz w:val="20"/>
          <w:szCs w:val="20"/>
        </w:rPr>
      </w:pPr>
    </w:p>
    <w:p w14:paraId="78AE9B14" w14:textId="77777777" w:rsidR="00EF26BC" w:rsidRDefault="00EF26BC">
      <w:pPr>
        <w:spacing w:line="270" w:lineRule="exact"/>
        <w:rPr>
          <w:sz w:val="20"/>
          <w:szCs w:val="20"/>
        </w:rPr>
      </w:pPr>
    </w:p>
    <w:p w14:paraId="78AE9B15" w14:textId="77777777" w:rsidR="00EF26BC" w:rsidRDefault="00343DF1">
      <w:pPr>
        <w:spacing w:line="355" w:lineRule="auto"/>
        <w:ind w:left="820" w:right="1800"/>
        <w:jc w:val="both"/>
        <w:rPr>
          <w:sz w:val="20"/>
          <w:szCs w:val="20"/>
        </w:rPr>
      </w:pPr>
      <w:r>
        <w:rPr>
          <w:rFonts w:eastAsia="Times New Roman"/>
          <w:sz w:val="24"/>
          <w:szCs w:val="24"/>
        </w:rPr>
        <w:t xml:space="preserve">trabajar el tema de prevención de la violencia y de </w:t>
      </w:r>
      <w:r>
        <w:rPr>
          <w:rFonts w:eastAsia="Times New Roman"/>
          <w:sz w:val="24"/>
          <w:szCs w:val="24"/>
        </w:rPr>
        <w:t>igualdad entre los géneros desde edades tempranas y en todas las regiones del país.</w:t>
      </w:r>
    </w:p>
    <w:p w14:paraId="78AE9B16" w14:textId="77777777" w:rsidR="00EF26BC" w:rsidRDefault="00EF26BC">
      <w:pPr>
        <w:spacing w:line="200" w:lineRule="exact"/>
        <w:rPr>
          <w:sz w:val="20"/>
          <w:szCs w:val="20"/>
        </w:rPr>
      </w:pPr>
    </w:p>
    <w:p w14:paraId="78AE9B17" w14:textId="77777777" w:rsidR="00EF26BC" w:rsidRDefault="00EF26BC">
      <w:pPr>
        <w:spacing w:line="200" w:lineRule="exact"/>
        <w:rPr>
          <w:sz w:val="20"/>
          <w:szCs w:val="20"/>
        </w:rPr>
      </w:pPr>
    </w:p>
    <w:p w14:paraId="78AE9B18" w14:textId="77777777" w:rsidR="00EF26BC" w:rsidRDefault="00EF26BC">
      <w:pPr>
        <w:spacing w:line="270" w:lineRule="exact"/>
        <w:rPr>
          <w:sz w:val="20"/>
          <w:szCs w:val="20"/>
        </w:rPr>
      </w:pPr>
    </w:p>
    <w:p w14:paraId="78AE9B19" w14:textId="77777777" w:rsidR="00EF26BC" w:rsidRDefault="00343DF1">
      <w:pPr>
        <w:ind w:left="820"/>
        <w:rPr>
          <w:sz w:val="20"/>
          <w:szCs w:val="20"/>
        </w:rPr>
      </w:pPr>
      <w:r>
        <w:rPr>
          <w:rFonts w:ascii="Arial" w:eastAsia="Arial" w:hAnsi="Arial" w:cs="Arial"/>
          <w:b/>
          <w:bCs/>
          <w:sz w:val="24"/>
          <w:szCs w:val="24"/>
        </w:rPr>
        <w:t>APUNTES FINALES</w:t>
      </w:r>
    </w:p>
    <w:p w14:paraId="78AE9B1A" w14:textId="77777777" w:rsidR="00EF26BC" w:rsidRDefault="00EF26BC">
      <w:pPr>
        <w:spacing w:line="271" w:lineRule="exact"/>
        <w:rPr>
          <w:sz w:val="20"/>
          <w:szCs w:val="20"/>
        </w:rPr>
      </w:pPr>
    </w:p>
    <w:p w14:paraId="78AE9B1B" w14:textId="77777777" w:rsidR="00EF26BC" w:rsidRDefault="00343DF1">
      <w:pPr>
        <w:spacing w:line="247" w:lineRule="auto"/>
        <w:ind w:left="820" w:right="1800"/>
        <w:jc w:val="both"/>
        <w:rPr>
          <w:sz w:val="20"/>
          <w:szCs w:val="20"/>
        </w:rPr>
      </w:pPr>
      <w:r>
        <w:rPr>
          <w:rFonts w:eastAsia="Times New Roman"/>
          <w:sz w:val="24"/>
          <w:szCs w:val="24"/>
        </w:rPr>
        <w:t xml:space="preserve">Las estadísticas mundiales indican que el problema de la violencia contra las mujeres alcanza proporciones pandémicas, es generalizada, </w:t>
      </w:r>
      <w:r>
        <w:rPr>
          <w:rFonts w:eastAsia="Times New Roman"/>
          <w:sz w:val="24"/>
          <w:szCs w:val="24"/>
        </w:rPr>
        <w:t>sistémica y tiene un fuerte arraigo cultural, por lo que es necesario actuar rápido y desde sus cimientos, para eliminar esa desigualdad que consagra el patriarcado y normaliza la inferioridad de un género respecto al otro, lo que ha permitido legitimar el</w:t>
      </w:r>
      <w:r>
        <w:rPr>
          <w:rFonts w:eastAsia="Times New Roman"/>
          <w:sz w:val="24"/>
          <w:szCs w:val="24"/>
        </w:rPr>
        <w:t xml:space="preserve"> maltrato que sufren las mujeres.</w:t>
      </w:r>
    </w:p>
    <w:p w14:paraId="78AE9B1C" w14:textId="77777777" w:rsidR="00EF26BC" w:rsidRDefault="00EF26BC">
      <w:pPr>
        <w:spacing w:line="153" w:lineRule="exact"/>
        <w:rPr>
          <w:sz w:val="20"/>
          <w:szCs w:val="20"/>
        </w:rPr>
      </w:pPr>
    </w:p>
    <w:p w14:paraId="78AE9B1D" w14:textId="77777777" w:rsidR="00EF26BC" w:rsidRDefault="00343DF1">
      <w:pPr>
        <w:spacing w:line="247" w:lineRule="auto"/>
        <w:ind w:left="820" w:right="1800"/>
        <w:jc w:val="both"/>
        <w:rPr>
          <w:sz w:val="20"/>
          <w:szCs w:val="20"/>
        </w:rPr>
      </w:pPr>
      <w:r>
        <w:rPr>
          <w:rFonts w:eastAsia="Times New Roman"/>
          <w:sz w:val="24"/>
          <w:szCs w:val="24"/>
        </w:rPr>
        <w:t>Deconstruir las estructuras patriarcales, que tienen como principal consecuencia la naturalización de la violencia hacia las mujeres es un largo camino por recorrer, ya que la violencia sexista es una cuestión política, s</w:t>
      </w:r>
      <w:r>
        <w:rPr>
          <w:rFonts w:eastAsia="Times New Roman"/>
          <w:sz w:val="24"/>
          <w:szCs w:val="24"/>
        </w:rPr>
        <w:t>ocial, cultural, económica y de Derechos Humanos. Un primer paso, es hacer visible la violencia contra las mujeres en todas sus formas y desde una visión integral, ya que trasciende las estadísticas policiales o judiciales sobre violencia y delito.</w:t>
      </w:r>
    </w:p>
    <w:p w14:paraId="78AE9B1E" w14:textId="77777777" w:rsidR="00EF26BC" w:rsidRDefault="00EF26BC">
      <w:pPr>
        <w:spacing w:line="149" w:lineRule="exact"/>
        <w:rPr>
          <w:sz w:val="20"/>
          <w:szCs w:val="20"/>
        </w:rPr>
      </w:pPr>
    </w:p>
    <w:p w14:paraId="78AE9B1F" w14:textId="77777777" w:rsidR="00EF26BC" w:rsidRDefault="00343DF1">
      <w:pPr>
        <w:spacing w:line="246" w:lineRule="auto"/>
        <w:ind w:left="820" w:right="1800"/>
        <w:jc w:val="both"/>
        <w:rPr>
          <w:sz w:val="20"/>
          <w:szCs w:val="20"/>
        </w:rPr>
      </w:pPr>
      <w:r>
        <w:rPr>
          <w:rFonts w:eastAsia="Times New Roman"/>
          <w:sz w:val="24"/>
          <w:szCs w:val="24"/>
        </w:rPr>
        <w:t>Tambié</w:t>
      </w:r>
      <w:r>
        <w:rPr>
          <w:rFonts w:eastAsia="Times New Roman"/>
          <w:sz w:val="24"/>
          <w:szCs w:val="24"/>
        </w:rPr>
        <w:t xml:space="preserve">n, es necesario trascender la concepción asistencialista que crea instituciones y servicios públicos para atender la situación post violencia, es decir, cuando las mujeres se han convertido en víctimas y más bien fortalecer las estrategias y recursos para </w:t>
      </w:r>
      <w:r>
        <w:rPr>
          <w:rFonts w:eastAsia="Times New Roman"/>
          <w:sz w:val="24"/>
          <w:szCs w:val="24"/>
        </w:rPr>
        <w:t>la prevención y promoción del derecho de las mujeres a vivir libres de violencia. Se trata de considerar a las mujeres como ciudadanas plenas para decidir respecto de sus vidas y garantizar desde el Estado condiciones que remuevan la desigualdad en todas s</w:t>
      </w:r>
      <w:r>
        <w:rPr>
          <w:rFonts w:eastAsia="Times New Roman"/>
          <w:sz w:val="24"/>
          <w:szCs w:val="24"/>
        </w:rPr>
        <w:t>us formas.</w:t>
      </w:r>
    </w:p>
    <w:p w14:paraId="78AE9B20" w14:textId="77777777" w:rsidR="00EF26BC" w:rsidRDefault="00EF26BC">
      <w:pPr>
        <w:spacing w:line="151" w:lineRule="exact"/>
        <w:rPr>
          <w:sz w:val="20"/>
          <w:szCs w:val="20"/>
        </w:rPr>
      </w:pPr>
    </w:p>
    <w:p w14:paraId="78AE9B21" w14:textId="77777777" w:rsidR="00EF26BC" w:rsidRDefault="00343DF1">
      <w:pPr>
        <w:spacing w:line="244" w:lineRule="auto"/>
        <w:ind w:left="820" w:right="1800" w:hanging="4"/>
        <w:jc w:val="both"/>
        <w:rPr>
          <w:sz w:val="20"/>
          <w:szCs w:val="20"/>
        </w:rPr>
      </w:pPr>
      <w:r>
        <w:rPr>
          <w:rFonts w:eastAsia="Times New Roman"/>
          <w:sz w:val="24"/>
          <w:szCs w:val="24"/>
        </w:rPr>
        <w:t>Debemos encauzar las acciones hacia la búsqueda del ejercicio pleno de la ciudadanía, de hombres y mujeres en igualdad de condiciones, y en particular, visibilizar las necesidades específicas de las mujeres. Lo que significa garantizarles a las</w:t>
      </w:r>
      <w:r>
        <w:rPr>
          <w:rFonts w:eastAsia="Times New Roman"/>
          <w:sz w:val="24"/>
          <w:szCs w:val="24"/>
        </w:rPr>
        <w:t xml:space="preserve"> mujeres que sus derechos no van a ser vulnerados y que van a hacer ejercicio de estos sin limitaciones, sin prejuicios, sin coacción; refiere a la construcción de una sociedad donde la justicia sea pronta y cumplida y en la que no se vea a las mujeres com</w:t>
      </w:r>
      <w:r>
        <w:rPr>
          <w:rFonts w:eastAsia="Times New Roman"/>
          <w:sz w:val="24"/>
          <w:szCs w:val="24"/>
        </w:rPr>
        <w:t>o víctimas-vulnerables solamente por su condición de género. En este sentido, como ya he planteado en otros estudios sobre seguridad ciudadana con enfoque de género y prevención de la violencia contra las mujeres, se deben incluir como mínimo acciones tend</w:t>
      </w:r>
      <w:r>
        <w:rPr>
          <w:rFonts w:eastAsia="Times New Roman"/>
          <w:sz w:val="24"/>
          <w:szCs w:val="24"/>
        </w:rPr>
        <w:t>ientes a:</w:t>
      </w:r>
    </w:p>
    <w:p w14:paraId="78AE9B22" w14:textId="77777777" w:rsidR="00EF26BC" w:rsidRDefault="00EF26BC">
      <w:pPr>
        <w:spacing w:line="156" w:lineRule="exact"/>
        <w:rPr>
          <w:sz w:val="20"/>
          <w:szCs w:val="20"/>
        </w:rPr>
      </w:pPr>
    </w:p>
    <w:p w14:paraId="78AE9B23" w14:textId="77777777" w:rsidR="00EF26BC" w:rsidRDefault="00343DF1">
      <w:pPr>
        <w:numPr>
          <w:ilvl w:val="0"/>
          <w:numId w:val="9"/>
        </w:numPr>
        <w:tabs>
          <w:tab w:val="left" w:pos="1180"/>
        </w:tabs>
        <w:spacing w:line="249" w:lineRule="auto"/>
        <w:ind w:left="1180" w:right="1800" w:hanging="354"/>
        <w:jc w:val="both"/>
        <w:rPr>
          <w:rFonts w:ascii="Wingdings" w:eastAsia="Wingdings" w:hAnsi="Wingdings" w:cs="Wingdings"/>
        </w:rPr>
      </w:pPr>
      <w:r>
        <w:rPr>
          <w:rFonts w:eastAsia="Times New Roman"/>
          <w:i/>
          <w:iCs/>
          <w:sz w:val="24"/>
          <w:szCs w:val="24"/>
        </w:rPr>
        <w:t xml:space="preserve">El cambio cultural: </w:t>
      </w:r>
      <w:r>
        <w:rPr>
          <w:rFonts w:eastAsia="Times New Roman"/>
          <w:sz w:val="24"/>
          <w:szCs w:val="24"/>
        </w:rPr>
        <w:t>orientado hacia la lucha contra la cultura patriarcal, el</w:t>
      </w:r>
      <w:r>
        <w:rPr>
          <w:rFonts w:eastAsia="Times New Roman"/>
          <w:i/>
          <w:iCs/>
          <w:sz w:val="24"/>
          <w:szCs w:val="24"/>
        </w:rPr>
        <w:t xml:space="preserve"> </w:t>
      </w:r>
      <w:r>
        <w:rPr>
          <w:rFonts w:eastAsia="Times New Roman"/>
          <w:sz w:val="24"/>
          <w:szCs w:val="24"/>
        </w:rPr>
        <w:t>uso de la violencia como forma de dominación, que contemple una socialización de género que se aleje de las construcciones tradicionales de masculinidad y feminidad, p</w:t>
      </w:r>
      <w:r>
        <w:rPr>
          <w:rFonts w:eastAsia="Times New Roman"/>
          <w:sz w:val="24"/>
          <w:szCs w:val="24"/>
        </w:rPr>
        <w:t>ara lo cual el sistema educativo en su conjunto, como herramienta de cambio, es primordial.</w:t>
      </w:r>
    </w:p>
    <w:p w14:paraId="78AE9B24" w14:textId="77777777" w:rsidR="00EF26BC" w:rsidRDefault="00EF26BC">
      <w:pPr>
        <w:spacing w:line="200" w:lineRule="exact"/>
        <w:rPr>
          <w:sz w:val="20"/>
          <w:szCs w:val="20"/>
        </w:rPr>
      </w:pPr>
    </w:p>
    <w:p w14:paraId="78AE9B25" w14:textId="77777777" w:rsidR="00EF26BC" w:rsidRDefault="00EF26BC">
      <w:pPr>
        <w:spacing w:line="200" w:lineRule="exact"/>
        <w:rPr>
          <w:sz w:val="20"/>
          <w:szCs w:val="20"/>
        </w:rPr>
      </w:pPr>
    </w:p>
    <w:p w14:paraId="78AE9B26" w14:textId="77777777" w:rsidR="00EF26BC" w:rsidRDefault="00EF26BC">
      <w:pPr>
        <w:spacing w:line="200" w:lineRule="exact"/>
        <w:rPr>
          <w:sz w:val="20"/>
          <w:szCs w:val="20"/>
        </w:rPr>
      </w:pPr>
    </w:p>
    <w:p w14:paraId="78AE9B27" w14:textId="77777777" w:rsidR="00EF26BC" w:rsidRDefault="00EF26BC">
      <w:pPr>
        <w:spacing w:line="371"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B2B" w14:textId="77777777">
        <w:trPr>
          <w:trHeight w:val="240"/>
        </w:trPr>
        <w:tc>
          <w:tcPr>
            <w:tcW w:w="6920" w:type="dxa"/>
            <w:vAlign w:val="bottom"/>
          </w:tcPr>
          <w:p w14:paraId="78AE9B28"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29" w14:textId="77777777" w:rsidR="00EF26BC" w:rsidRDefault="00343DF1">
            <w:pPr>
              <w:jc w:val="right"/>
              <w:rPr>
                <w:sz w:val="20"/>
                <w:szCs w:val="20"/>
              </w:rPr>
            </w:pPr>
            <w:r>
              <w:rPr>
                <w:rFonts w:ascii="Arial" w:eastAsia="Arial" w:hAnsi="Arial" w:cs="Arial"/>
              </w:rPr>
              <w:t>109</w:t>
            </w:r>
          </w:p>
        </w:tc>
        <w:tc>
          <w:tcPr>
            <w:tcW w:w="0" w:type="dxa"/>
            <w:vAlign w:val="bottom"/>
          </w:tcPr>
          <w:p w14:paraId="78AE9B2A" w14:textId="77777777" w:rsidR="00EF26BC" w:rsidRDefault="00EF26BC">
            <w:pPr>
              <w:rPr>
                <w:sz w:val="1"/>
                <w:szCs w:val="1"/>
              </w:rPr>
            </w:pPr>
          </w:p>
        </w:tc>
      </w:tr>
      <w:tr w:rsidR="00EF26BC" w14:paraId="78AE9B2F" w14:textId="77777777">
        <w:trPr>
          <w:trHeight w:val="260"/>
        </w:trPr>
        <w:tc>
          <w:tcPr>
            <w:tcW w:w="6920" w:type="dxa"/>
            <w:vAlign w:val="bottom"/>
          </w:tcPr>
          <w:p w14:paraId="78AE9B2C"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B2D" w14:textId="77777777" w:rsidR="00EF26BC" w:rsidRDefault="00EF26BC"/>
        </w:tc>
        <w:tc>
          <w:tcPr>
            <w:tcW w:w="0" w:type="dxa"/>
            <w:vAlign w:val="bottom"/>
          </w:tcPr>
          <w:p w14:paraId="78AE9B2E" w14:textId="77777777" w:rsidR="00EF26BC" w:rsidRDefault="00EF26BC">
            <w:pPr>
              <w:rPr>
                <w:sz w:val="1"/>
                <w:szCs w:val="1"/>
              </w:rPr>
            </w:pPr>
          </w:p>
        </w:tc>
      </w:tr>
    </w:tbl>
    <w:p w14:paraId="78AE9B30" w14:textId="77777777" w:rsidR="00EF26BC" w:rsidRDefault="00EF26BC">
      <w:pPr>
        <w:sectPr w:rsidR="00EF26BC">
          <w:pgSz w:w="12240" w:h="15840"/>
          <w:pgMar w:top="714" w:right="480" w:bottom="121" w:left="1440" w:header="0" w:footer="0" w:gutter="0"/>
          <w:cols w:space="720" w:equalWidth="0">
            <w:col w:w="10320"/>
          </w:cols>
        </w:sectPr>
      </w:pPr>
    </w:p>
    <w:p w14:paraId="78AE9B31" w14:textId="77777777" w:rsidR="00EF26BC" w:rsidRDefault="00343DF1">
      <w:pPr>
        <w:ind w:left="3700"/>
        <w:rPr>
          <w:sz w:val="20"/>
          <w:szCs w:val="20"/>
        </w:rPr>
      </w:pPr>
      <w:bookmarkStart w:id="21" w:name="page22"/>
      <w:bookmarkEnd w:id="21"/>
      <w:r>
        <w:rPr>
          <w:rFonts w:ascii="Arial" w:eastAsia="Arial" w:hAnsi="Arial" w:cs="Arial"/>
          <w:sz w:val="20"/>
          <w:szCs w:val="20"/>
        </w:rPr>
        <w:lastRenderedPageBreak/>
        <w:t xml:space="preserve">Marcela </w:t>
      </w:r>
      <w:r>
        <w:rPr>
          <w:rFonts w:ascii="Arial" w:eastAsia="Arial" w:hAnsi="Arial" w:cs="Arial"/>
          <w:sz w:val="20"/>
          <w:szCs w:val="20"/>
        </w:rPr>
        <w:t>Piedra Durán</w:t>
      </w:r>
    </w:p>
    <w:p w14:paraId="78AE9B32" w14:textId="77777777" w:rsidR="00EF26BC" w:rsidRDefault="00EF26BC">
      <w:pPr>
        <w:spacing w:line="200" w:lineRule="exact"/>
        <w:rPr>
          <w:sz w:val="20"/>
          <w:szCs w:val="20"/>
        </w:rPr>
      </w:pPr>
    </w:p>
    <w:p w14:paraId="78AE9B33" w14:textId="77777777" w:rsidR="00EF26BC" w:rsidRDefault="00EF26BC">
      <w:pPr>
        <w:spacing w:line="331" w:lineRule="exact"/>
        <w:rPr>
          <w:sz w:val="20"/>
          <w:szCs w:val="20"/>
        </w:rPr>
      </w:pPr>
    </w:p>
    <w:p w14:paraId="78AE9B34" w14:textId="77777777" w:rsidR="00EF26BC" w:rsidRDefault="00343DF1">
      <w:pPr>
        <w:numPr>
          <w:ilvl w:val="0"/>
          <w:numId w:val="10"/>
        </w:numPr>
        <w:tabs>
          <w:tab w:val="left" w:pos="1180"/>
        </w:tabs>
        <w:spacing w:line="249" w:lineRule="auto"/>
        <w:ind w:left="1180" w:right="1820" w:hanging="354"/>
        <w:jc w:val="both"/>
        <w:rPr>
          <w:rFonts w:ascii="Wingdings" w:eastAsia="Wingdings" w:hAnsi="Wingdings" w:cs="Wingdings"/>
          <w:sz w:val="24"/>
          <w:szCs w:val="24"/>
        </w:rPr>
      </w:pPr>
      <w:r>
        <w:rPr>
          <w:rFonts w:eastAsia="Times New Roman"/>
          <w:i/>
          <w:iCs/>
          <w:sz w:val="24"/>
          <w:szCs w:val="24"/>
        </w:rPr>
        <w:t>Institucionalizar</w:t>
      </w:r>
      <w:r>
        <w:rPr>
          <w:rFonts w:eastAsia="Times New Roman"/>
          <w:sz w:val="24"/>
          <w:szCs w:val="24"/>
        </w:rPr>
        <w:t>: la perspectiva de género y la prevención de la violencia</w:t>
      </w:r>
      <w:r>
        <w:rPr>
          <w:rFonts w:eastAsia="Times New Roman"/>
          <w:i/>
          <w:iCs/>
          <w:sz w:val="24"/>
          <w:szCs w:val="24"/>
        </w:rPr>
        <w:t xml:space="preserve"> </w:t>
      </w:r>
      <w:r>
        <w:rPr>
          <w:rFonts w:eastAsia="Times New Roman"/>
          <w:sz w:val="24"/>
          <w:szCs w:val="24"/>
        </w:rPr>
        <w:t xml:space="preserve">contra las mujeres deben ser parte de las políticas de seguridad ciudadana y de criminalidad de forma transversal y ser incorporada de manera visible en los </w:t>
      </w:r>
      <w:r>
        <w:rPr>
          <w:rFonts w:eastAsia="Times New Roman"/>
          <w:sz w:val="24"/>
          <w:szCs w:val="24"/>
        </w:rPr>
        <w:t>presupuestos de todas las instituciones encargadas de prestar servicios y hacer cumplir esta política.</w:t>
      </w:r>
    </w:p>
    <w:p w14:paraId="78AE9B35" w14:textId="77777777" w:rsidR="00EF26BC" w:rsidRDefault="00EF26BC">
      <w:pPr>
        <w:spacing w:line="152" w:lineRule="exact"/>
        <w:rPr>
          <w:rFonts w:ascii="Wingdings" w:eastAsia="Wingdings" w:hAnsi="Wingdings" w:cs="Wingdings"/>
          <w:sz w:val="24"/>
          <w:szCs w:val="24"/>
        </w:rPr>
      </w:pPr>
    </w:p>
    <w:p w14:paraId="78AE9B36" w14:textId="77777777" w:rsidR="00EF26BC" w:rsidRDefault="00343DF1">
      <w:pPr>
        <w:numPr>
          <w:ilvl w:val="0"/>
          <w:numId w:val="10"/>
        </w:numPr>
        <w:tabs>
          <w:tab w:val="left" w:pos="1180"/>
        </w:tabs>
        <w:spacing w:line="245" w:lineRule="auto"/>
        <w:ind w:left="1180" w:right="1820" w:hanging="354"/>
        <w:jc w:val="both"/>
        <w:rPr>
          <w:rFonts w:ascii="Wingdings" w:eastAsia="Wingdings" w:hAnsi="Wingdings" w:cs="Wingdings"/>
          <w:sz w:val="24"/>
          <w:szCs w:val="24"/>
        </w:rPr>
      </w:pPr>
      <w:r>
        <w:rPr>
          <w:rFonts w:eastAsia="Times New Roman"/>
          <w:i/>
          <w:iCs/>
          <w:sz w:val="24"/>
          <w:szCs w:val="24"/>
        </w:rPr>
        <w:t xml:space="preserve">Los instrumentos legales existentes en el país son recursos a utilizar: </w:t>
      </w:r>
      <w:r>
        <w:rPr>
          <w:rFonts w:eastAsia="Times New Roman"/>
          <w:sz w:val="24"/>
          <w:szCs w:val="24"/>
        </w:rPr>
        <w:t>el</w:t>
      </w:r>
      <w:r>
        <w:rPr>
          <w:rFonts w:eastAsia="Times New Roman"/>
          <w:i/>
          <w:iCs/>
          <w:sz w:val="24"/>
          <w:szCs w:val="24"/>
        </w:rPr>
        <w:t xml:space="preserve"> </w:t>
      </w:r>
      <w:r>
        <w:rPr>
          <w:rFonts w:eastAsia="Times New Roman"/>
          <w:sz w:val="24"/>
          <w:szCs w:val="24"/>
        </w:rPr>
        <w:t>marco legal de protección de los derechos humanos de las mujeres debe ser pro</w:t>
      </w:r>
      <w:r>
        <w:rPr>
          <w:rFonts w:eastAsia="Times New Roman"/>
          <w:sz w:val="24"/>
          <w:szCs w:val="24"/>
        </w:rPr>
        <w:t>mocionados de manera más efectiva, son necesarias las campañas de información para que más y más mujeres exijan los derechos que les corresponden. Adicionalmente, se debe crear un sistema de seguimiento y evaluación de la normativa existente, con el fin de</w:t>
      </w:r>
      <w:r>
        <w:rPr>
          <w:rFonts w:eastAsia="Times New Roman"/>
          <w:sz w:val="24"/>
          <w:szCs w:val="24"/>
        </w:rPr>
        <w:t xml:space="preserve"> determinar el por qué existen aún vacíos en la aplicación de las leyes y cómo subsanarlos.</w:t>
      </w:r>
    </w:p>
    <w:p w14:paraId="78AE9B37" w14:textId="77777777" w:rsidR="00EF26BC" w:rsidRDefault="00EF26BC">
      <w:pPr>
        <w:spacing w:line="159" w:lineRule="exact"/>
        <w:rPr>
          <w:rFonts w:ascii="Wingdings" w:eastAsia="Wingdings" w:hAnsi="Wingdings" w:cs="Wingdings"/>
          <w:sz w:val="24"/>
          <w:szCs w:val="24"/>
        </w:rPr>
      </w:pPr>
    </w:p>
    <w:p w14:paraId="78AE9B38" w14:textId="77777777" w:rsidR="00EF26BC" w:rsidRDefault="00343DF1">
      <w:pPr>
        <w:numPr>
          <w:ilvl w:val="0"/>
          <w:numId w:val="10"/>
        </w:numPr>
        <w:tabs>
          <w:tab w:val="left" w:pos="1180"/>
        </w:tabs>
        <w:spacing w:line="242" w:lineRule="auto"/>
        <w:ind w:left="1180" w:right="1820" w:hanging="354"/>
        <w:jc w:val="both"/>
        <w:rPr>
          <w:rFonts w:ascii="Wingdings" w:eastAsia="Wingdings" w:hAnsi="Wingdings" w:cs="Wingdings"/>
          <w:sz w:val="24"/>
          <w:szCs w:val="24"/>
        </w:rPr>
      </w:pPr>
      <w:r>
        <w:rPr>
          <w:rFonts w:eastAsia="Times New Roman"/>
          <w:i/>
          <w:iCs/>
          <w:sz w:val="24"/>
          <w:szCs w:val="24"/>
        </w:rPr>
        <w:t xml:space="preserve">Fortalecer el ejercicio de la ciudadanía de las mujeres: </w:t>
      </w:r>
      <w:r>
        <w:rPr>
          <w:rFonts w:eastAsia="Times New Roman"/>
          <w:sz w:val="24"/>
          <w:szCs w:val="24"/>
        </w:rPr>
        <w:t>ser ciudadana es más</w:t>
      </w:r>
      <w:r>
        <w:rPr>
          <w:rFonts w:eastAsia="Times New Roman"/>
          <w:i/>
          <w:iCs/>
          <w:sz w:val="24"/>
          <w:szCs w:val="24"/>
        </w:rPr>
        <w:t xml:space="preserve"> </w:t>
      </w:r>
      <w:r>
        <w:rPr>
          <w:rFonts w:eastAsia="Times New Roman"/>
          <w:sz w:val="24"/>
          <w:szCs w:val="24"/>
        </w:rPr>
        <w:t>que ser poseedora de derechos, significa hacerlos efectivos. El Estado es el responsa</w:t>
      </w:r>
      <w:r>
        <w:rPr>
          <w:rFonts w:eastAsia="Times New Roman"/>
          <w:sz w:val="24"/>
          <w:szCs w:val="24"/>
        </w:rPr>
        <w:t>ble de garantizar la verdadera ciudadanía de las mujeres, ya que los derechos humanos del género femenino no deben quedar solamente en el papel, en detrimento de su pleno y libre ejercicio. No se puede hablar de ciudadanía mientras se es agredida, se sufre</w:t>
      </w:r>
      <w:r>
        <w:rPr>
          <w:rFonts w:eastAsia="Times New Roman"/>
          <w:sz w:val="24"/>
          <w:szCs w:val="24"/>
        </w:rPr>
        <w:t xml:space="preserve"> violencia de cualquier tipo, se es discriminada, se gana menos por igual trabajo, no se tiene tranquilidad en las calles o en la casa, se tiene la responsabilidad total del cuidado de niños, niñas, personas adultas mayores o con alguna discapacidad, entre</w:t>
      </w:r>
      <w:r>
        <w:rPr>
          <w:rFonts w:eastAsia="Times New Roman"/>
          <w:sz w:val="24"/>
          <w:szCs w:val="24"/>
        </w:rPr>
        <w:t xml:space="preserve"> otros. Además, en el caso de las mujeres, que han sido históricamente excluidas de la toma de decisiones sobre estos aspectos, se hace todavía más importante generar los mecanismos para su participación directa y activa en la elaboración de políticas públ</w:t>
      </w:r>
      <w:r>
        <w:rPr>
          <w:rFonts w:eastAsia="Times New Roman"/>
          <w:sz w:val="24"/>
          <w:szCs w:val="24"/>
        </w:rPr>
        <w:t>icas como parte del ejercicio de su propia ciudadanía.</w:t>
      </w:r>
    </w:p>
    <w:p w14:paraId="78AE9B39" w14:textId="77777777" w:rsidR="00EF26BC" w:rsidRDefault="00EF26BC">
      <w:pPr>
        <w:spacing w:line="168" w:lineRule="exact"/>
        <w:rPr>
          <w:rFonts w:ascii="Wingdings" w:eastAsia="Wingdings" w:hAnsi="Wingdings" w:cs="Wingdings"/>
          <w:sz w:val="24"/>
          <w:szCs w:val="24"/>
        </w:rPr>
      </w:pPr>
    </w:p>
    <w:p w14:paraId="78AE9B3A" w14:textId="77777777" w:rsidR="00EF26BC" w:rsidRDefault="00343DF1">
      <w:pPr>
        <w:numPr>
          <w:ilvl w:val="0"/>
          <w:numId w:val="10"/>
        </w:numPr>
        <w:tabs>
          <w:tab w:val="left" w:pos="1180"/>
        </w:tabs>
        <w:spacing w:line="248" w:lineRule="auto"/>
        <w:ind w:left="1180" w:right="1820" w:hanging="354"/>
        <w:jc w:val="both"/>
        <w:rPr>
          <w:rFonts w:ascii="Wingdings" w:eastAsia="Wingdings" w:hAnsi="Wingdings" w:cs="Wingdings"/>
          <w:sz w:val="24"/>
          <w:szCs w:val="24"/>
        </w:rPr>
      </w:pPr>
      <w:r>
        <w:rPr>
          <w:rFonts w:eastAsia="Times New Roman"/>
          <w:i/>
          <w:iCs/>
          <w:sz w:val="24"/>
          <w:szCs w:val="24"/>
        </w:rPr>
        <w:t>Crear, potenciar y fortalecer alianzas estratégicas entre las instituciones nacionales</w:t>
      </w:r>
      <w:r>
        <w:rPr>
          <w:rFonts w:eastAsia="Times New Roman"/>
          <w:sz w:val="24"/>
          <w:szCs w:val="24"/>
        </w:rPr>
        <w:t>, los gobiernos locales, empresa privada, organizaciones de la</w:t>
      </w:r>
      <w:r>
        <w:rPr>
          <w:rFonts w:eastAsia="Times New Roman"/>
          <w:i/>
          <w:iCs/>
          <w:sz w:val="24"/>
          <w:szCs w:val="24"/>
        </w:rPr>
        <w:t xml:space="preserve"> </w:t>
      </w:r>
      <w:r>
        <w:rPr>
          <w:rFonts w:eastAsia="Times New Roman"/>
          <w:sz w:val="24"/>
          <w:szCs w:val="24"/>
        </w:rPr>
        <w:t>sociedad civil, organizaciones de mujeres, entre ot</w:t>
      </w:r>
      <w:r>
        <w:rPr>
          <w:rFonts w:eastAsia="Times New Roman"/>
          <w:sz w:val="24"/>
          <w:szCs w:val="24"/>
        </w:rPr>
        <w:t>ros, para lograr una implementación eficiente de una política de prevención de la violencia con enfoque de género</w:t>
      </w:r>
      <w:r>
        <w:rPr>
          <w:rFonts w:eastAsia="Times New Roman"/>
          <w:i/>
          <w:iCs/>
          <w:sz w:val="24"/>
          <w:szCs w:val="24"/>
        </w:rPr>
        <w:t>.</w:t>
      </w:r>
    </w:p>
    <w:p w14:paraId="78AE9B3B" w14:textId="77777777" w:rsidR="00EF26BC" w:rsidRDefault="00EF26BC">
      <w:pPr>
        <w:spacing w:line="149" w:lineRule="exact"/>
        <w:rPr>
          <w:rFonts w:ascii="Wingdings" w:eastAsia="Wingdings" w:hAnsi="Wingdings" w:cs="Wingdings"/>
          <w:sz w:val="24"/>
          <w:szCs w:val="24"/>
        </w:rPr>
      </w:pPr>
    </w:p>
    <w:p w14:paraId="78AE9B3C" w14:textId="77777777" w:rsidR="00EF26BC" w:rsidRDefault="00343DF1">
      <w:pPr>
        <w:numPr>
          <w:ilvl w:val="0"/>
          <w:numId w:val="10"/>
        </w:numPr>
        <w:tabs>
          <w:tab w:val="left" w:pos="1180"/>
        </w:tabs>
        <w:spacing w:line="244" w:lineRule="auto"/>
        <w:ind w:left="1180" w:right="1820" w:hanging="354"/>
        <w:jc w:val="both"/>
        <w:rPr>
          <w:rFonts w:ascii="Wingdings" w:eastAsia="Wingdings" w:hAnsi="Wingdings" w:cs="Wingdings"/>
          <w:sz w:val="24"/>
          <w:szCs w:val="24"/>
        </w:rPr>
      </w:pPr>
      <w:r>
        <w:rPr>
          <w:rFonts w:eastAsia="Times New Roman"/>
          <w:i/>
          <w:iCs/>
          <w:sz w:val="24"/>
          <w:szCs w:val="24"/>
        </w:rPr>
        <w:t xml:space="preserve">Generar conocimiento, información y medición </w:t>
      </w:r>
      <w:r>
        <w:rPr>
          <w:rFonts w:eastAsia="Times New Roman"/>
          <w:sz w:val="24"/>
          <w:szCs w:val="24"/>
        </w:rPr>
        <w:t>confiable (cualitativa y</w:t>
      </w:r>
      <w:r>
        <w:rPr>
          <w:rFonts w:eastAsia="Times New Roman"/>
          <w:i/>
          <w:iCs/>
          <w:sz w:val="24"/>
          <w:szCs w:val="24"/>
        </w:rPr>
        <w:t xml:space="preserve"> </w:t>
      </w:r>
      <w:r>
        <w:rPr>
          <w:rFonts w:eastAsia="Times New Roman"/>
          <w:sz w:val="24"/>
          <w:szCs w:val="24"/>
        </w:rPr>
        <w:t xml:space="preserve">cuantitativa) con el objeto de tener una representación </w:t>
      </w:r>
      <w:r>
        <w:rPr>
          <w:rFonts w:eastAsia="Times New Roman"/>
          <w:sz w:val="24"/>
          <w:szCs w:val="24"/>
        </w:rPr>
        <w:t>diferenciada del contexto donde se desarrollan mujeres y hombres. Es necesario contar con datos exactos y comparables sobre la violencia a nivel local, nacional e internacional para fortalecer los esfuerzos de atención y prevención, al ayudar en la compres</w:t>
      </w:r>
      <w:r>
        <w:rPr>
          <w:rFonts w:eastAsia="Times New Roman"/>
          <w:sz w:val="24"/>
          <w:szCs w:val="24"/>
        </w:rPr>
        <w:t>ión de la magnitud del problema y de guía para el diseño de las intervenciones. Sin embargo, se debe reconocer que medir la prevalencia real de la violencia contra las mujeres en todas sus manifestaciones es una tarea compleja.</w:t>
      </w:r>
    </w:p>
    <w:p w14:paraId="78AE9B3D" w14:textId="77777777" w:rsidR="00EF26BC" w:rsidRDefault="00EF26BC">
      <w:pPr>
        <w:spacing w:line="162" w:lineRule="exact"/>
        <w:rPr>
          <w:rFonts w:ascii="Wingdings" w:eastAsia="Wingdings" w:hAnsi="Wingdings" w:cs="Wingdings"/>
          <w:sz w:val="24"/>
          <w:szCs w:val="24"/>
        </w:rPr>
      </w:pPr>
    </w:p>
    <w:p w14:paraId="78AE9B3E" w14:textId="77777777" w:rsidR="00EF26BC" w:rsidRDefault="00343DF1">
      <w:pPr>
        <w:numPr>
          <w:ilvl w:val="0"/>
          <w:numId w:val="10"/>
        </w:numPr>
        <w:tabs>
          <w:tab w:val="left" w:pos="1180"/>
        </w:tabs>
        <w:spacing w:line="298" w:lineRule="auto"/>
        <w:ind w:left="1180" w:right="1860" w:hanging="354"/>
        <w:jc w:val="both"/>
        <w:rPr>
          <w:rFonts w:ascii="Wingdings" w:eastAsia="Wingdings" w:hAnsi="Wingdings" w:cs="Wingdings"/>
          <w:sz w:val="23"/>
          <w:szCs w:val="23"/>
        </w:rPr>
      </w:pPr>
      <w:r>
        <w:rPr>
          <w:rFonts w:eastAsia="Times New Roman"/>
          <w:i/>
          <w:iCs/>
          <w:sz w:val="23"/>
          <w:szCs w:val="23"/>
        </w:rPr>
        <w:t xml:space="preserve">Educar y sensibilizar: </w:t>
      </w:r>
      <w:r>
        <w:rPr>
          <w:rFonts w:eastAsia="Times New Roman"/>
          <w:sz w:val="23"/>
          <w:szCs w:val="23"/>
        </w:rPr>
        <w:t>la s</w:t>
      </w:r>
      <w:r>
        <w:rPr>
          <w:rFonts w:eastAsia="Times New Roman"/>
          <w:sz w:val="23"/>
          <w:szCs w:val="23"/>
        </w:rPr>
        <w:t>ensibilización y la educación sobre la especificidad</w:t>
      </w:r>
      <w:r>
        <w:rPr>
          <w:rFonts w:eastAsia="Times New Roman"/>
          <w:i/>
          <w:iCs/>
          <w:sz w:val="23"/>
          <w:szCs w:val="23"/>
        </w:rPr>
        <w:t xml:space="preserve"> </w:t>
      </w:r>
      <w:r>
        <w:rPr>
          <w:rFonts w:eastAsia="Times New Roman"/>
          <w:sz w:val="23"/>
          <w:szCs w:val="23"/>
        </w:rPr>
        <w:t>de género que subyace en la violencia contra las mujeres debe ser una</w:t>
      </w:r>
    </w:p>
    <w:p w14:paraId="78AE9B3F" w14:textId="77777777" w:rsidR="00EF26BC" w:rsidRDefault="00EF26BC">
      <w:pPr>
        <w:spacing w:line="200" w:lineRule="exact"/>
        <w:rPr>
          <w:sz w:val="20"/>
          <w:szCs w:val="20"/>
        </w:rPr>
      </w:pPr>
    </w:p>
    <w:p w14:paraId="78AE9B40" w14:textId="77777777" w:rsidR="00EF26BC" w:rsidRDefault="00EF26BC">
      <w:pPr>
        <w:spacing w:line="279"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B44" w14:textId="77777777">
        <w:trPr>
          <w:trHeight w:val="240"/>
        </w:trPr>
        <w:tc>
          <w:tcPr>
            <w:tcW w:w="6940" w:type="dxa"/>
            <w:vAlign w:val="bottom"/>
          </w:tcPr>
          <w:p w14:paraId="78AE9B41"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42" w14:textId="77777777" w:rsidR="00EF26BC" w:rsidRDefault="00343DF1">
            <w:pPr>
              <w:jc w:val="right"/>
              <w:rPr>
                <w:sz w:val="20"/>
                <w:szCs w:val="20"/>
              </w:rPr>
            </w:pPr>
            <w:r>
              <w:rPr>
                <w:rFonts w:ascii="Arial" w:eastAsia="Arial" w:hAnsi="Arial" w:cs="Arial"/>
              </w:rPr>
              <w:t>110</w:t>
            </w:r>
          </w:p>
        </w:tc>
        <w:tc>
          <w:tcPr>
            <w:tcW w:w="0" w:type="dxa"/>
            <w:vAlign w:val="bottom"/>
          </w:tcPr>
          <w:p w14:paraId="78AE9B43" w14:textId="77777777" w:rsidR="00EF26BC" w:rsidRDefault="00EF26BC">
            <w:pPr>
              <w:rPr>
                <w:sz w:val="1"/>
                <w:szCs w:val="1"/>
              </w:rPr>
            </w:pPr>
          </w:p>
        </w:tc>
      </w:tr>
      <w:tr w:rsidR="00EF26BC" w14:paraId="78AE9B48" w14:textId="77777777">
        <w:trPr>
          <w:trHeight w:val="270"/>
        </w:trPr>
        <w:tc>
          <w:tcPr>
            <w:tcW w:w="6940" w:type="dxa"/>
            <w:vAlign w:val="bottom"/>
          </w:tcPr>
          <w:p w14:paraId="78AE9B45"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B46" w14:textId="77777777" w:rsidR="00EF26BC" w:rsidRDefault="00EF26BC">
            <w:pPr>
              <w:rPr>
                <w:sz w:val="23"/>
                <w:szCs w:val="23"/>
              </w:rPr>
            </w:pPr>
          </w:p>
        </w:tc>
        <w:tc>
          <w:tcPr>
            <w:tcW w:w="0" w:type="dxa"/>
            <w:vAlign w:val="bottom"/>
          </w:tcPr>
          <w:p w14:paraId="78AE9B47" w14:textId="77777777" w:rsidR="00EF26BC" w:rsidRDefault="00EF26BC">
            <w:pPr>
              <w:rPr>
                <w:sz w:val="1"/>
                <w:szCs w:val="1"/>
              </w:rPr>
            </w:pPr>
          </w:p>
        </w:tc>
      </w:tr>
    </w:tbl>
    <w:p w14:paraId="78AE9B49" w14:textId="77777777" w:rsidR="00EF26BC" w:rsidRDefault="00EF26BC">
      <w:pPr>
        <w:sectPr w:rsidR="00EF26BC">
          <w:pgSz w:w="12240" w:h="15840"/>
          <w:pgMar w:top="714" w:right="460" w:bottom="112" w:left="1440" w:header="0" w:footer="0" w:gutter="0"/>
          <w:cols w:space="720" w:equalWidth="0">
            <w:col w:w="10340"/>
          </w:cols>
        </w:sectPr>
      </w:pPr>
    </w:p>
    <w:p w14:paraId="78AE9B4A" w14:textId="77777777" w:rsidR="00EF26BC" w:rsidRDefault="00343DF1">
      <w:pPr>
        <w:ind w:left="2960"/>
        <w:rPr>
          <w:sz w:val="20"/>
          <w:szCs w:val="20"/>
        </w:rPr>
      </w:pPr>
      <w:bookmarkStart w:id="22" w:name="page23"/>
      <w:bookmarkEnd w:id="22"/>
      <w:r>
        <w:rPr>
          <w:rFonts w:ascii="Arial" w:eastAsia="Arial" w:hAnsi="Arial" w:cs="Arial"/>
          <w:sz w:val="20"/>
          <w:szCs w:val="20"/>
        </w:rPr>
        <w:lastRenderedPageBreak/>
        <w:t>Violencia contra las mujeres y femicidio</w:t>
      </w:r>
    </w:p>
    <w:p w14:paraId="78AE9B4B" w14:textId="77777777" w:rsidR="00EF26BC" w:rsidRDefault="00EF26BC">
      <w:pPr>
        <w:spacing w:line="200" w:lineRule="exact"/>
        <w:rPr>
          <w:sz w:val="20"/>
          <w:szCs w:val="20"/>
        </w:rPr>
      </w:pPr>
    </w:p>
    <w:p w14:paraId="78AE9B4C" w14:textId="77777777" w:rsidR="00EF26BC" w:rsidRDefault="00EF26BC">
      <w:pPr>
        <w:spacing w:line="331" w:lineRule="exact"/>
        <w:rPr>
          <w:sz w:val="20"/>
          <w:szCs w:val="20"/>
        </w:rPr>
      </w:pPr>
    </w:p>
    <w:p w14:paraId="78AE9B4D" w14:textId="77777777" w:rsidR="00EF26BC" w:rsidRDefault="00343DF1">
      <w:pPr>
        <w:spacing w:line="253" w:lineRule="auto"/>
        <w:ind w:left="1180" w:right="1840"/>
        <w:jc w:val="both"/>
        <w:rPr>
          <w:sz w:val="20"/>
          <w:szCs w:val="20"/>
        </w:rPr>
      </w:pPr>
      <w:r>
        <w:rPr>
          <w:rFonts w:eastAsia="Times New Roman"/>
          <w:sz w:val="24"/>
          <w:szCs w:val="24"/>
        </w:rPr>
        <w:t>cuestión fundamental para toda la ciudadanía. Es necesario fomentar y generar procesos de diálogo, sensibilización y capacitación orientados a toda la población (hombres y mujeres) para desnatura</w:t>
      </w:r>
      <w:r>
        <w:rPr>
          <w:rFonts w:eastAsia="Times New Roman"/>
          <w:sz w:val="24"/>
          <w:szCs w:val="24"/>
        </w:rPr>
        <w:t>lizar la desigualdad, la discriminación, la dominación y la violencia contra las mujeres.</w:t>
      </w:r>
    </w:p>
    <w:p w14:paraId="78AE9B4E" w14:textId="77777777" w:rsidR="00EF26BC" w:rsidRDefault="00EF26BC">
      <w:pPr>
        <w:spacing w:line="146" w:lineRule="exact"/>
        <w:rPr>
          <w:sz w:val="20"/>
          <w:szCs w:val="20"/>
        </w:rPr>
      </w:pPr>
    </w:p>
    <w:p w14:paraId="78AE9B4F" w14:textId="77777777" w:rsidR="00EF26BC" w:rsidRDefault="00343DF1">
      <w:pPr>
        <w:numPr>
          <w:ilvl w:val="0"/>
          <w:numId w:val="11"/>
        </w:numPr>
        <w:tabs>
          <w:tab w:val="left" w:pos="1180"/>
        </w:tabs>
        <w:spacing w:line="246" w:lineRule="auto"/>
        <w:ind w:left="1180" w:right="1800" w:hanging="354"/>
        <w:jc w:val="both"/>
        <w:rPr>
          <w:rFonts w:ascii="Wingdings" w:eastAsia="Wingdings" w:hAnsi="Wingdings" w:cs="Wingdings"/>
          <w:sz w:val="24"/>
          <w:szCs w:val="24"/>
        </w:rPr>
      </w:pPr>
      <w:r>
        <w:rPr>
          <w:rFonts w:eastAsia="Times New Roman"/>
          <w:i/>
          <w:iCs/>
          <w:sz w:val="24"/>
          <w:szCs w:val="24"/>
        </w:rPr>
        <w:t xml:space="preserve">El derecho de las mujeres a una vida libre de violencia es un asunto de oportunidades: </w:t>
      </w:r>
      <w:r>
        <w:rPr>
          <w:rFonts w:eastAsia="Times New Roman"/>
          <w:sz w:val="24"/>
          <w:szCs w:val="24"/>
        </w:rPr>
        <w:t>el Estado debe garantizar tanto la autonomía física (se es</w:t>
      </w:r>
      <w:r>
        <w:rPr>
          <w:rFonts w:eastAsia="Times New Roman"/>
          <w:i/>
          <w:iCs/>
          <w:sz w:val="24"/>
          <w:szCs w:val="24"/>
        </w:rPr>
        <w:t xml:space="preserve"> </w:t>
      </w:r>
      <w:r>
        <w:rPr>
          <w:rFonts w:eastAsia="Times New Roman"/>
          <w:sz w:val="24"/>
          <w:szCs w:val="24"/>
        </w:rPr>
        <w:t>dueña de su cuerpo)</w:t>
      </w:r>
      <w:r>
        <w:rPr>
          <w:rFonts w:eastAsia="Times New Roman"/>
          <w:sz w:val="24"/>
          <w:szCs w:val="24"/>
        </w:rPr>
        <w:t xml:space="preserve"> como la autonomía económica (empoderamiento económico) de las mujeres, como uno de los medios para que se rompan los vínculos de dependencia y control, elemento que en algunas ocasiones es justificante para resistir una situación de violencia en el hogar.</w:t>
      </w:r>
    </w:p>
    <w:p w14:paraId="78AE9B50" w14:textId="77777777" w:rsidR="00EF26BC" w:rsidRDefault="00EF26BC">
      <w:pPr>
        <w:spacing w:line="156" w:lineRule="exact"/>
        <w:rPr>
          <w:sz w:val="20"/>
          <w:szCs w:val="20"/>
        </w:rPr>
      </w:pPr>
    </w:p>
    <w:p w14:paraId="78AE9B51" w14:textId="77777777" w:rsidR="00EF26BC" w:rsidRDefault="00343DF1">
      <w:pPr>
        <w:spacing w:line="260" w:lineRule="auto"/>
        <w:ind w:left="820" w:right="1800" w:hanging="4"/>
        <w:jc w:val="both"/>
        <w:rPr>
          <w:sz w:val="20"/>
          <w:szCs w:val="20"/>
        </w:rPr>
      </w:pPr>
      <w:r>
        <w:rPr>
          <w:rFonts w:eastAsia="Times New Roman"/>
          <w:sz w:val="23"/>
          <w:szCs w:val="23"/>
        </w:rPr>
        <w:t>En síntesis, es primordial generar un cambio que transforme la sociedad patriarcal en una en la que exista una nueva relación entre hombres y mujeres, en la que se respete su derecho a no solo sentirse seguras sino también a garantizarles seguridad en to</w:t>
      </w:r>
      <w:r>
        <w:rPr>
          <w:rFonts w:eastAsia="Times New Roman"/>
          <w:sz w:val="23"/>
          <w:szCs w:val="23"/>
        </w:rPr>
        <w:t>dos los niveles (casa, colegio, escuela, trabajo, calle, entre otros), que se entienda y se viva la seguridad como un bien público, lo que va a tener un impacto positivo en la calidad de vida de las mujeres y los hombres.</w:t>
      </w:r>
    </w:p>
    <w:p w14:paraId="78AE9B52" w14:textId="77777777" w:rsidR="00EF26BC" w:rsidRDefault="00EF26BC">
      <w:pPr>
        <w:spacing w:line="200" w:lineRule="exact"/>
        <w:rPr>
          <w:sz w:val="20"/>
          <w:szCs w:val="20"/>
        </w:rPr>
      </w:pPr>
    </w:p>
    <w:p w14:paraId="78AE9B53" w14:textId="77777777" w:rsidR="00EF26BC" w:rsidRDefault="00EF26BC">
      <w:pPr>
        <w:spacing w:line="200" w:lineRule="exact"/>
        <w:rPr>
          <w:sz w:val="20"/>
          <w:szCs w:val="20"/>
        </w:rPr>
      </w:pPr>
    </w:p>
    <w:p w14:paraId="78AE9B54" w14:textId="77777777" w:rsidR="00EF26BC" w:rsidRDefault="00EF26BC">
      <w:pPr>
        <w:spacing w:line="234" w:lineRule="exact"/>
        <w:rPr>
          <w:sz w:val="20"/>
          <w:szCs w:val="20"/>
        </w:rPr>
      </w:pPr>
    </w:p>
    <w:p w14:paraId="78AE9B55" w14:textId="77777777" w:rsidR="00EF26BC" w:rsidRDefault="00343DF1">
      <w:pPr>
        <w:ind w:left="820"/>
        <w:rPr>
          <w:sz w:val="20"/>
          <w:szCs w:val="20"/>
        </w:rPr>
      </w:pPr>
      <w:r>
        <w:rPr>
          <w:rFonts w:ascii="Arial" w:eastAsia="Arial" w:hAnsi="Arial" w:cs="Arial"/>
          <w:b/>
          <w:bCs/>
          <w:sz w:val="24"/>
          <w:szCs w:val="24"/>
        </w:rPr>
        <w:t>FUENTES CONSULTADAS</w:t>
      </w:r>
      <w:r>
        <w:rPr>
          <w:rFonts w:eastAsia="Times New Roman"/>
          <w:b/>
          <w:bCs/>
          <w:sz w:val="24"/>
          <w:szCs w:val="24"/>
        </w:rPr>
        <w:t>´</w:t>
      </w:r>
    </w:p>
    <w:p w14:paraId="78AE9B56" w14:textId="77777777" w:rsidR="00EF26BC" w:rsidRDefault="00EF26BC">
      <w:pPr>
        <w:spacing w:line="197" w:lineRule="exact"/>
        <w:rPr>
          <w:sz w:val="20"/>
          <w:szCs w:val="20"/>
        </w:rPr>
      </w:pPr>
    </w:p>
    <w:p w14:paraId="78AE9B57" w14:textId="77777777" w:rsidR="00EF26BC" w:rsidRDefault="00343DF1">
      <w:pPr>
        <w:spacing w:line="261" w:lineRule="auto"/>
        <w:ind w:left="1300" w:right="1800" w:hanging="481"/>
        <w:jc w:val="both"/>
        <w:rPr>
          <w:sz w:val="20"/>
          <w:szCs w:val="20"/>
        </w:rPr>
      </w:pPr>
      <w:r>
        <w:rPr>
          <w:rFonts w:eastAsia="Times New Roman"/>
          <w:sz w:val="24"/>
          <w:szCs w:val="24"/>
        </w:rPr>
        <w:t xml:space="preserve">Aguilar, V. (2002). </w:t>
      </w:r>
      <w:r>
        <w:rPr>
          <w:rFonts w:eastAsia="Times New Roman"/>
          <w:i/>
          <w:iCs/>
          <w:sz w:val="24"/>
          <w:szCs w:val="24"/>
        </w:rPr>
        <w:t>La violencia simbólica entretejida en la enseñanza del</w:t>
      </w:r>
      <w:r>
        <w:rPr>
          <w:rFonts w:eastAsia="Times New Roman"/>
          <w:sz w:val="24"/>
          <w:szCs w:val="24"/>
        </w:rPr>
        <w:t xml:space="preserve"> </w:t>
      </w:r>
      <w:r>
        <w:rPr>
          <w:rFonts w:eastAsia="Times New Roman"/>
          <w:i/>
          <w:iCs/>
          <w:sz w:val="24"/>
          <w:szCs w:val="24"/>
        </w:rPr>
        <w:t xml:space="preserve">Derecho Penal </w:t>
      </w:r>
      <w:r>
        <w:rPr>
          <w:rFonts w:eastAsia="Times New Roman"/>
          <w:sz w:val="24"/>
          <w:szCs w:val="24"/>
        </w:rPr>
        <w:t>(Tesis de maestría). Universidad de Costa Rica, San José,</w:t>
      </w:r>
      <w:r>
        <w:rPr>
          <w:rFonts w:eastAsia="Times New Roman"/>
          <w:i/>
          <w:iCs/>
          <w:sz w:val="24"/>
          <w:szCs w:val="24"/>
        </w:rPr>
        <w:t xml:space="preserve"> </w:t>
      </w:r>
      <w:r>
        <w:rPr>
          <w:rFonts w:eastAsia="Times New Roman"/>
          <w:sz w:val="24"/>
          <w:szCs w:val="24"/>
        </w:rPr>
        <w:t>Costa Rica.</w:t>
      </w:r>
    </w:p>
    <w:p w14:paraId="78AE9B58" w14:textId="77777777" w:rsidR="00EF26BC" w:rsidRDefault="00EF26BC">
      <w:pPr>
        <w:spacing w:line="127" w:lineRule="exact"/>
        <w:rPr>
          <w:sz w:val="20"/>
          <w:szCs w:val="20"/>
        </w:rPr>
      </w:pPr>
    </w:p>
    <w:p w14:paraId="78AE9B59" w14:textId="77777777" w:rsidR="00EF26BC" w:rsidRDefault="00343DF1">
      <w:pPr>
        <w:spacing w:line="284" w:lineRule="auto"/>
        <w:ind w:left="1300" w:right="1800" w:hanging="481"/>
        <w:jc w:val="both"/>
        <w:rPr>
          <w:sz w:val="20"/>
          <w:szCs w:val="20"/>
        </w:rPr>
      </w:pPr>
      <w:r>
        <w:rPr>
          <w:rFonts w:eastAsia="Times New Roman"/>
          <w:sz w:val="24"/>
          <w:szCs w:val="24"/>
        </w:rPr>
        <w:t>Amorós, C. (2005). Dimensiones de poder en la teoría feminista. Revista Internacional de Filosof</w:t>
      </w:r>
      <w:r>
        <w:rPr>
          <w:rFonts w:eastAsia="Times New Roman"/>
          <w:sz w:val="24"/>
          <w:szCs w:val="24"/>
        </w:rPr>
        <w:t>ía Política. 25, 11-34.</w:t>
      </w:r>
    </w:p>
    <w:p w14:paraId="78AE9B5A" w14:textId="77777777" w:rsidR="00EF26BC" w:rsidRDefault="00EF26BC">
      <w:pPr>
        <w:spacing w:line="105" w:lineRule="exact"/>
        <w:rPr>
          <w:sz w:val="20"/>
          <w:szCs w:val="20"/>
        </w:rPr>
      </w:pPr>
    </w:p>
    <w:p w14:paraId="78AE9B5B" w14:textId="77777777" w:rsidR="00EF26BC" w:rsidRDefault="00343DF1">
      <w:pPr>
        <w:ind w:left="820"/>
        <w:rPr>
          <w:sz w:val="20"/>
          <w:szCs w:val="20"/>
        </w:rPr>
      </w:pPr>
      <w:r>
        <w:rPr>
          <w:rFonts w:eastAsia="Times New Roman"/>
          <w:sz w:val="24"/>
          <w:szCs w:val="24"/>
        </w:rPr>
        <w:t xml:space="preserve">Bourdieu, P. (2000). </w:t>
      </w:r>
      <w:r>
        <w:rPr>
          <w:rFonts w:eastAsia="Times New Roman"/>
          <w:i/>
          <w:iCs/>
          <w:sz w:val="24"/>
          <w:szCs w:val="24"/>
        </w:rPr>
        <w:t>La dominación masculina</w:t>
      </w:r>
      <w:r>
        <w:rPr>
          <w:rFonts w:eastAsia="Times New Roman"/>
          <w:sz w:val="24"/>
          <w:szCs w:val="24"/>
        </w:rPr>
        <w:t>. Barcelona, España: Anagrama.</w:t>
      </w:r>
    </w:p>
    <w:p w14:paraId="78AE9B5C" w14:textId="77777777" w:rsidR="00EF26BC" w:rsidRDefault="00EF26BC">
      <w:pPr>
        <w:spacing w:line="194" w:lineRule="exact"/>
        <w:rPr>
          <w:sz w:val="20"/>
          <w:szCs w:val="20"/>
        </w:rPr>
      </w:pPr>
    </w:p>
    <w:p w14:paraId="78AE9B5D" w14:textId="77777777" w:rsidR="00EF26BC" w:rsidRDefault="00343DF1">
      <w:pPr>
        <w:spacing w:line="253" w:lineRule="auto"/>
        <w:ind w:left="1300" w:right="1800" w:hanging="481"/>
        <w:jc w:val="both"/>
        <w:rPr>
          <w:sz w:val="20"/>
          <w:szCs w:val="20"/>
        </w:rPr>
      </w:pPr>
      <w:r>
        <w:rPr>
          <w:rFonts w:eastAsia="Times New Roman"/>
          <w:sz w:val="24"/>
          <w:szCs w:val="24"/>
        </w:rPr>
        <w:t xml:space="preserve">Briceño-León, R. (2002). Introducción. La nueva violencia urbana de América Latina. En: Briceño-León, R. (Comp.). </w:t>
      </w:r>
      <w:r>
        <w:rPr>
          <w:rFonts w:eastAsia="Times New Roman"/>
          <w:i/>
          <w:iCs/>
          <w:sz w:val="24"/>
          <w:szCs w:val="24"/>
        </w:rPr>
        <w:t>Violencia, sociedad y justicia en</w:t>
      </w:r>
      <w:r>
        <w:rPr>
          <w:rFonts w:eastAsia="Times New Roman"/>
          <w:sz w:val="24"/>
          <w:szCs w:val="24"/>
        </w:rPr>
        <w:t xml:space="preserve"> </w:t>
      </w:r>
      <w:r>
        <w:rPr>
          <w:rFonts w:eastAsia="Times New Roman"/>
          <w:i/>
          <w:iCs/>
          <w:sz w:val="24"/>
          <w:szCs w:val="24"/>
        </w:rPr>
        <w:t>América</w:t>
      </w:r>
      <w:r>
        <w:rPr>
          <w:rFonts w:eastAsia="Times New Roman"/>
          <w:i/>
          <w:iCs/>
          <w:sz w:val="24"/>
          <w:szCs w:val="24"/>
        </w:rPr>
        <w:t xml:space="preserve"> Latina </w:t>
      </w:r>
      <w:r>
        <w:rPr>
          <w:rFonts w:eastAsia="Times New Roman"/>
          <w:sz w:val="24"/>
          <w:szCs w:val="24"/>
        </w:rPr>
        <w:t>(pp. 13-26). Buenos Aires, Argentina: Consejo</w:t>
      </w:r>
      <w:r>
        <w:rPr>
          <w:rFonts w:eastAsia="Times New Roman"/>
          <w:i/>
          <w:iCs/>
          <w:sz w:val="24"/>
          <w:szCs w:val="24"/>
        </w:rPr>
        <w:t xml:space="preserve"> </w:t>
      </w:r>
      <w:r>
        <w:rPr>
          <w:rFonts w:eastAsia="Times New Roman"/>
          <w:sz w:val="24"/>
          <w:szCs w:val="24"/>
        </w:rPr>
        <w:t>Latinoamericano de Ciencias Sociales (CLACSO)</w:t>
      </w:r>
    </w:p>
    <w:p w14:paraId="78AE9B5E" w14:textId="77777777" w:rsidR="00EF26BC" w:rsidRDefault="00EF26BC">
      <w:pPr>
        <w:spacing w:line="142" w:lineRule="exact"/>
        <w:rPr>
          <w:sz w:val="20"/>
          <w:szCs w:val="20"/>
        </w:rPr>
      </w:pPr>
    </w:p>
    <w:p w14:paraId="78AE9B5F" w14:textId="77777777" w:rsidR="00EF26BC" w:rsidRDefault="00343DF1">
      <w:pPr>
        <w:spacing w:line="261" w:lineRule="auto"/>
        <w:ind w:left="1300" w:right="1800" w:hanging="481"/>
        <w:jc w:val="both"/>
        <w:rPr>
          <w:sz w:val="20"/>
          <w:szCs w:val="20"/>
        </w:rPr>
      </w:pPr>
      <w:r>
        <w:rPr>
          <w:rFonts w:eastAsia="Times New Roman"/>
          <w:sz w:val="24"/>
          <w:szCs w:val="24"/>
        </w:rPr>
        <w:t xml:space="preserve">Caputti, J. y Russell, D. (1992). </w:t>
      </w:r>
      <w:r w:rsidRPr="00FA315E">
        <w:rPr>
          <w:rFonts w:eastAsia="Times New Roman"/>
          <w:sz w:val="24"/>
          <w:szCs w:val="24"/>
          <w:lang w:val="en-US"/>
        </w:rPr>
        <w:t xml:space="preserve">Femicide: sexist terrorism against women. En: Radford, J. y Russell, D. (Eds.). </w:t>
      </w:r>
      <w:r w:rsidRPr="00FA315E">
        <w:rPr>
          <w:rFonts w:eastAsia="Times New Roman"/>
          <w:i/>
          <w:iCs/>
          <w:sz w:val="24"/>
          <w:szCs w:val="24"/>
          <w:lang w:val="en-US"/>
        </w:rPr>
        <w:t>Femicide. The politics of woman killing</w:t>
      </w:r>
      <w:r w:rsidRPr="00FA315E">
        <w:rPr>
          <w:rFonts w:eastAsia="Times New Roman"/>
          <w:sz w:val="24"/>
          <w:szCs w:val="24"/>
          <w:lang w:val="en-US"/>
        </w:rPr>
        <w:t xml:space="preserve"> (pp. 13-26). </w:t>
      </w:r>
      <w:r>
        <w:rPr>
          <w:rFonts w:eastAsia="Times New Roman"/>
          <w:sz w:val="24"/>
          <w:szCs w:val="24"/>
        </w:rPr>
        <w:t>Nueva York, Estados Unidos: Twayne Publishers.</w:t>
      </w:r>
    </w:p>
    <w:p w14:paraId="78AE9B60" w14:textId="77777777" w:rsidR="00EF26BC" w:rsidRDefault="00EF26BC">
      <w:pPr>
        <w:spacing w:line="127" w:lineRule="exact"/>
        <w:rPr>
          <w:sz w:val="20"/>
          <w:szCs w:val="20"/>
        </w:rPr>
      </w:pPr>
    </w:p>
    <w:p w14:paraId="78AE9B61" w14:textId="77777777" w:rsidR="00EF26BC" w:rsidRDefault="00343DF1">
      <w:pPr>
        <w:spacing w:line="265" w:lineRule="auto"/>
        <w:ind w:left="1300" w:right="1800" w:hanging="481"/>
        <w:jc w:val="both"/>
        <w:rPr>
          <w:sz w:val="20"/>
          <w:szCs w:val="20"/>
        </w:rPr>
      </w:pPr>
      <w:r>
        <w:rPr>
          <w:rFonts w:eastAsia="Times New Roman"/>
          <w:sz w:val="23"/>
          <w:szCs w:val="23"/>
        </w:rPr>
        <w:t xml:space="preserve">Carcedo, A. (2006). Cuadernos de </w:t>
      </w:r>
      <w:r>
        <w:rPr>
          <w:rFonts w:eastAsia="Times New Roman"/>
          <w:sz w:val="23"/>
          <w:szCs w:val="23"/>
        </w:rPr>
        <w:t>Desarrollo Humano N°2. Seguridad ciudadana de las mujeres. San José, Costa Rica: Programa de Naciones Unidas para el</w:t>
      </w:r>
    </w:p>
    <w:p w14:paraId="78AE9B62" w14:textId="77777777" w:rsidR="00EF26BC" w:rsidRDefault="00EF26BC">
      <w:pPr>
        <w:spacing w:line="2" w:lineRule="exact"/>
        <w:rPr>
          <w:sz w:val="20"/>
          <w:szCs w:val="20"/>
        </w:rPr>
      </w:pPr>
    </w:p>
    <w:p w14:paraId="78AE9B63" w14:textId="77777777" w:rsidR="00EF26BC" w:rsidRDefault="00343DF1">
      <w:pPr>
        <w:spacing w:line="246" w:lineRule="auto"/>
        <w:ind w:left="1300" w:right="1800"/>
        <w:jc w:val="both"/>
        <w:rPr>
          <w:sz w:val="20"/>
          <w:szCs w:val="20"/>
        </w:rPr>
      </w:pPr>
      <w:r>
        <w:rPr>
          <w:rFonts w:eastAsia="Times New Roman"/>
          <w:sz w:val="24"/>
          <w:szCs w:val="24"/>
        </w:rPr>
        <w:t>Desarrollo. Recuperado de: http://www.dhl.hegoa.edu.es/ficheros/0000/0279/Seguridad_ciudadana_m ujeres_y_desarrollo_humano.pdf.</w:t>
      </w:r>
    </w:p>
    <w:p w14:paraId="78AE9B64" w14:textId="77777777" w:rsidR="00EF26BC" w:rsidRDefault="00EF26BC">
      <w:pPr>
        <w:spacing w:line="145" w:lineRule="exact"/>
        <w:rPr>
          <w:sz w:val="20"/>
          <w:szCs w:val="20"/>
        </w:rPr>
      </w:pPr>
    </w:p>
    <w:p w14:paraId="78AE9B65" w14:textId="77777777" w:rsidR="00EF26BC" w:rsidRDefault="00343DF1">
      <w:pPr>
        <w:spacing w:line="276" w:lineRule="auto"/>
        <w:ind w:left="820" w:right="1800"/>
        <w:jc w:val="right"/>
        <w:rPr>
          <w:sz w:val="20"/>
          <w:szCs w:val="20"/>
        </w:rPr>
      </w:pPr>
      <w:r>
        <w:rPr>
          <w:rFonts w:eastAsia="Times New Roman"/>
          <w:sz w:val="24"/>
          <w:szCs w:val="24"/>
        </w:rPr>
        <w:t>Castro, R</w:t>
      </w:r>
      <w:r>
        <w:rPr>
          <w:rFonts w:eastAsia="Times New Roman"/>
          <w:sz w:val="24"/>
          <w:szCs w:val="24"/>
        </w:rPr>
        <w:t>. (2012). Problemas conceptuales en el estudio de la violencia de género. Controversias y debates a tomar en cuenta. En: Baca Tavira, N. y</w:t>
      </w:r>
    </w:p>
    <w:p w14:paraId="78AE9B66" w14:textId="77777777" w:rsidR="00EF26BC" w:rsidRDefault="00EF26BC">
      <w:pPr>
        <w:spacing w:line="385"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B6A" w14:textId="77777777">
        <w:trPr>
          <w:trHeight w:val="240"/>
        </w:trPr>
        <w:tc>
          <w:tcPr>
            <w:tcW w:w="6920" w:type="dxa"/>
            <w:vAlign w:val="bottom"/>
          </w:tcPr>
          <w:p w14:paraId="78AE9B67"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68" w14:textId="77777777" w:rsidR="00EF26BC" w:rsidRDefault="00343DF1">
            <w:pPr>
              <w:jc w:val="right"/>
              <w:rPr>
                <w:sz w:val="20"/>
                <w:szCs w:val="20"/>
              </w:rPr>
            </w:pPr>
            <w:r>
              <w:rPr>
                <w:rFonts w:ascii="Arial" w:eastAsia="Arial" w:hAnsi="Arial" w:cs="Arial"/>
              </w:rPr>
              <w:t>111</w:t>
            </w:r>
          </w:p>
        </w:tc>
        <w:tc>
          <w:tcPr>
            <w:tcW w:w="0" w:type="dxa"/>
            <w:vAlign w:val="bottom"/>
          </w:tcPr>
          <w:p w14:paraId="78AE9B69" w14:textId="77777777" w:rsidR="00EF26BC" w:rsidRDefault="00EF26BC">
            <w:pPr>
              <w:rPr>
                <w:sz w:val="1"/>
                <w:szCs w:val="1"/>
              </w:rPr>
            </w:pPr>
          </w:p>
        </w:tc>
      </w:tr>
      <w:tr w:rsidR="00EF26BC" w14:paraId="78AE9B6E" w14:textId="77777777">
        <w:trPr>
          <w:trHeight w:val="260"/>
        </w:trPr>
        <w:tc>
          <w:tcPr>
            <w:tcW w:w="6920" w:type="dxa"/>
            <w:vAlign w:val="bottom"/>
          </w:tcPr>
          <w:p w14:paraId="78AE9B6B" w14:textId="77777777" w:rsidR="00EF26BC" w:rsidRDefault="00343DF1">
            <w:pPr>
              <w:ind w:right="1099"/>
              <w:jc w:val="center"/>
              <w:rPr>
                <w:sz w:val="20"/>
                <w:szCs w:val="20"/>
              </w:rPr>
            </w:pPr>
            <w:r>
              <w:rPr>
                <w:rFonts w:ascii="Arial" w:eastAsia="Arial" w:hAnsi="Arial" w:cs="Arial"/>
                <w:sz w:val="20"/>
                <w:szCs w:val="20"/>
              </w:rPr>
              <w:t>Universidad de Costa Rica, 10: 89-115, 2019 ISSN: 221</w:t>
            </w:r>
            <w:r>
              <w:rPr>
                <w:rFonts w:ascii="Arial" w:eastAsia="Arial" w:hAnsi="Arial" w:cs="Arial"/>
                <w:sz w:val="20"/>
                <w:szCs w:val="20"/>
              </w:rPr>
              <w:t>5-2873</w:t>
            </w:r>
          </w:p>
        </w:tc>
        <w:tc>
          <w:tcPr>
            <w:tcW w:w="1580" w:type="dxa"/>
            <w:vMerge/>
            <w:vAlign w:val="bottom"/>
          </w:tcPr>
          <w:p w14:paraId="78AE9B6C" w14:textId="77777777" w:rsidR="00EF26BC" w:rsidRDefault="00EF26BC"/>
        </w:tc>
        <w:tc>
          <w:tcPr>
            <w:tcW w:w="0" w:type="dxa"/>
            <w:vAlign w:val="bottom"/>
          </w:tcPr>
          <w:p w14:paraId="78AE9B6D" w14:textId="77777777" w:rsidR="00EF26BC" w:rsidRDefault="00EF26BC">
            <w:pPr>
              <w:rPr>
                <w:sz w:val="1"/>
                <w:szCs w:val="1"/>
              </w:rPr>
            </w:pPr>
          </w:p>
        </w:tc>
      </w:tr>
    </w:tbl>
    <w:p w14:paraId="78AE9B6F" w14:textId="77777777" w:rsidR="00EF26BC" w:rsidRDefault="00EF26BC">
      <w:pPr>
        <w:sectPr w:rsidR="00EF26BC">
          <w:pgSz w:w="12240" w:h="15840"/>
          <w:pgMar w:top="714" w:right="480" w:bottom="121" w:left="1440" w:header="0" w:footer="0" w:gutter="0"/>
          <w:cols w:space="720" w:equalWidth="0">
            <w:col w:w="10320"/>
          </w:cols>
        </w:sectPr>
      </w:pPr>
    </w:p>
    <w:p w14:paraId="78AE9B70" w14:textId="77777777" w:rsidR="00EF26BC" w:rsidRDefault="00343DF1">
      <w:pPr>
        <w:ind w:left="3700"/>
        <w:rPr>
          <w:sz w:val="20"/>
          <w:szCs w:val="20"/>
        </w:rPr>
      </w:pPr>
      <w:bookmarkStart w:id="23" w:name="page24"/>
      <w:bookmarkEnd w:id="23"/>
      <w:r>
        <w:rPr>
          <w:rFonts w:ascii="Arial" w:eastAsia="Arial" w:hAnsi="Arial" w:cs="Arial"/>
          <w:sz w:val="20"/>
          <w:szCs w:val="20"/>
        </w:rPr>
        <w:lastRenderedPageBreak/>
        <w:t>Marcela Piedra Durán</w:t>
      </w:r>
    </w:p>
    <w:p w14:paraId="78AE9B71" w14:textId="77777777" w:rsidR="00EF26BC" w:rsidRDefault="00EF26BC">
      <w:pPr>
        <w:spacing w:line="200" w:lineRule="exact"/>
        <w:rPr>
          <w:sz w:val="20"/>
          <w:szCs w:val="20"/>
        </w:rPr>
      </w:pPr>
    </w:p>
    <w:p w14:paraId="78AE9B72" w14:textId="77777777" w:rsidR="00EF26BC" w:rsidRDefault="00EF26BC">
      <w:pPr>
        <w:spacing w:line="331" w:lineRule="exact"/>
        <w:rPr>
          <w:sz w:val="20"/>
          <w:szCs w:val="20"/>
        </w:rPr>
      </w:pPr>
    </w:p>
    <w:p w14:paraId="78AE9B73" w14:textId="77777777" w:rsidR="00EF26BC" w:rsidRDefault="00343DF1">
      <w:pPr>
        <w:spacing w:line="261" w:lineRule="auto"/>
        <w:ind w:left="1300" w:right="1820"/>
        <w:jc w:val="both"/>
        <w:rPr>
          <w:sz w:val="20"/>
          <w:szCs w:val="20"/>
        </w:rPr>
      </w:pPr>
      <w:r>
        <w:rPr>
          <w:rFonts w:eastAsia="Times New Roman"/>
          <w:sz w:val="24"/>
          <w:szCs w:val="24"/>
        </w:rPr>
        <w:t xml:space="preserve">Vélez Bautista, G. (Coords.). </w:t>
      </w:r>
      <w:r>
        <w:rPr>
          <w:rFonts w:eastAsia="Times New Roman"/>
          <w:i/>
          <w:iCs/>
          <w:sz w:val="24"/>
          <w:szCs w:val="24"/>
        </w:rPr>
        <w:t>Violencia, género y la persistencia de la</w:t>
      </w:r>
      <w:r>
        <w:rPr>
          <w:rFonts w:eastAsia="Times New Roman"/>
          <w:sz w:val="24"/>
          <w:szCs w:val="24"/>
        </w:rPr>
        <w:t xml:space="preserve"> </w:t>
      </w:r>
      <w:r>
        <w:rPr>
          <w:rFonts w:eastAsia="Times New Roman"/>
          <w:i/>
          <w:iCs/>
          <w:sz w:val="24"/>
          <w:szCs w:val="24"/>
        </w:rPr>
        <w:t xml:space="preserve">desigualdad en el Estado de México </w:t>
      </w:r>
      <w:r>
        <w:rPr>
          <w:rFonts w:eastAsia="Times New Roman"/>
          <w:sz w:val="24"/>
          <w:szCs w:val="24"/>
        </w:rPr>
        <w:t>(pp. 17-38). Buenos Aires. Argentina:</w:t>
      </w:r>
      <w:r>
        <w:rPr>
          <w:rFonts w:eastAsia="Times New Roman"/>
          <w:i/>
          <w:iCs/>
          <w:sz w:val="24"/>
          <w:szCs w:val="24"/>
        </w:rPr>
        <w:t xml:space="preserve"> </w:t>
      </w:r>
      <w:r>
        <w:rPr>
          <w:rFonts w:eastAsia="Times New Roman"/>
          <w:sz w:val="24"/>
          <w:szCs w:val="24"/>
        </w:rPr>
        <w:t>Editorial Mnemosyne.</w:t>
      </w:r>
    </w:p>
    <w:p w14:paraId="78AE9B74" w14:textId="77777777" w:rsidR="00EF26BC" w:rsidRDefault="00EF26BC">
      <w:pPr>
        <w:spacing w:line="127" w:lineRule="exact"/>
        <w:rPr>
          <w:sz w:val="20"/>
          <w:szCs w:val="20"/>
        </w:rPr>
      </w:pPr>
    </w:p>
    <w:p w14:paraId="78AE9B75" w14:textId="77777777" w:rsidR="00EF26BC" w:rsidRDefault="00343DF1">
      <w:pPr>
        <w:spacing w:line="261" w:lineRule="auto"/>
        <w:ind w:left="1300" w:right="1820" w:hanging="481"/>
        <w:jc w:val="both"/>
        <w:rPr>
          <w:sz w:val="20"/>
          <w:szCs w:val="20"/>
        </w:rPr>
      </w:pPr>
      <w:r>
        <w:rPr>
          <w:rFonts w:eastAsia="Times New Roman"/>
          <w:sz w:val="24"/>
          <w:szCs w:val="24"/>
        </w:rPr>
        <w:t xml:space="preserve">CEFEMINA (2010). </w:t>
      </w:r>
      <w:r>
        <w:rPr>
          <w:rFonts w:eastAsia="Times New Roman"/>
          <w:i/>
          <w:iCs/>
          <w:sz w:val="24"/>
          <w:szCs w:val="24"/>
        </w:rPr>
        <w:t xml:space="preserve">No olvidamos ni </w:t>
      </w:r>
      <w:r>
        <w:rPr>
          <w:rFonts w:eastAsia="Times New Roman"/>
          <w:i/>
          <w:iCs/>
          <w:sz w:val="24"/>
          <w:szCs w:val="24"/>
        </w:rPr>
        <w:t>aceptamos: femicidio en Centroamérica</w:t>
      </w:r>
      <w:r>
        <w:rPr>
          <w:rFonts w:eastAsia="Times New Roman"/>
          <w:sz w:val="24"/>
          <w:szCs w:val="24"/>
        </w:rPr>
        <w:t xml:space="preserve"> </w:t>
      </w:r>
      <w:r>
        <w:rPr>
          <w:rFonts w:eastAsia="Times New Roman"/>
          <w:i/>
          <w:iCs/>
          <w:sz w:val="24"/>
          <w:szCs w:val="24"/>
        </w:rPr>
        <w:t>2000-2006</w:t>
      </w:r>
      <w:r>
        <w:rPr>
          <w:rFonts w:eastAsia="Times New Roman"/>
          <w:sz w:val="24"/>
          <w:szCs w:val="24"/>
        </w:rPr>
        <w:t>. San José, Costa Rica: Asociación Centro Feminista de</w:t>
      </w:r>
      <w:r>
        <w:rPr>
          <w:rFonts w:eastAsia="Times New Roman"/>
          <w:i/>
          <w:iCs/>
          <w:sz w:val="24"/>
          <w:szCs w:val="24"/>
        </w:rPr>
        <w:t xml:space="preserve"> </w:t>
      </w:r>
      <w:r>
        <w:rPr>
          <w:rFonts w:eastAsia="Times New Roman"/>
          <w:sz w:val="24"/>
          <w:szCs w:val="24"/>
        </w:rPr>
        <w:t>Información y Acción.</w:t>
      </w:r>
    </w:p>
    <w:p w14:paraId="78AE9B76" w14:textId="77777777" w:rsidR="00EF26BC" w:rsidRDefault="00EF26BC">
      <w:pPr>
        <w:spacing w:line="127" w:lineRule="exact"/>
        <w:rPr>
          <w:sz w:val="20"/>
          <w:szCs w:val="20"/>
        </w:rPr>
      </w:pPr>
    </w:p>
    <w:p w14:paraId="78AE9B77" w14:textId="77777777" w:rsidR="00EF26BC" w:rsidRDefault="00343DF1">
      <w:pPr>
        <w:spacing w:line="254" w:lineRule="auto"/>
        <w:ind w:left="1300" w:right="1820" w:hanging="481"/>
        <w:jc w:val="both"/>
        <w:rPr>
          <w:sz w:val="20"/>
          <w:szCs w:val="20"/>
        </w:rPr>
      </w:pPr>
      <w:r>
        <w:rPr>
          <w:rFonts w:eastAsia="Times New Roman"/>
          <w:sz w:val="24"/>
          <w:szCs w:val="24"/>
        </w:rPr>
        <w:t>Chacón,</w:t>
      </w:r>
      <w:r>
        <w:rPr>
          <w:sz w:val="20"/>
          <w:szCs w:val="20"/>
        </w:rPr>
        <w:t xml:space="preserve"> </w:t>
      </w:r>
      <w:r>
        <w:rPr>
          <w:rFonts w:eastAsia="Times New Roman"/>
          <w:sz w:val="24"/>
          <w:szCs w:val="24"/>
        </w:rPr>
        <w:t xml:space="preserve">M.; Lizano, M. y Murillo, E. (2012). </w:t>
      </w:r>
      <w:r>
        <w:rPr>
          <w:rFonts w:eastAsia="Times New Roman"/>
          <w:i/>
          <w:iCs/>
          <w:sz w:val="24"/>
          <w:szCs w:val="24"/>
        </w:rPr>
        <w:t>Fundamentos políticos e</w:t>
      </w:r>
      <w:r>
        <w:rPr>
          <w:rFonts w:eastAsia="Times New Roman"/>
          <w:sz w:val="24"/>
          <w:szCs w:val="24"/>
        </w:rPr>
        <w:t xml:space="preserve"> </w:t>
      </w:r>
      <w:r>
        <w:rPr>
          <w:rFonts w:eastAsia="Times New Roman"/>
          <w:i/>
          <w:iCs/>
          <w:sz w:val="24"/>
          <w:szCs w:val="24"/>
        </w:rPr>
        <w:t xml:space="preserve">ideológicos que legitiman la violencia feminicida por parte del Estado costarricense, a partir del INAMU y el Poder Judicial </w:t>
      </w:r>
      <w:r>
        <w:rPr>
          <w:rFonts w:eastAsia="Times New Roman"/>
          <w:sz w:val="24"/>
          <w:szCs w:val="24"/>
        </w:rPr>
        <w:t>(Tesis de</w:t>
      </w:r>
      <w:r>
        <w:rPr>
          <w:rFonts w:eastAsia="Times New Roman"/>
          <w:i/>
          <w:iCs/>
          <w:sz w:val="24"/>
          <w:szCs w:val="24"/>
        </w:rPr>
        <w:t xml:space="preserve"> </w:t>
      </w:r>
      <w:r>
        <w:rPr>
          <w:rFonts w:eastAsia="Times New Roman"/>
          <w:sz w:val="24"/>
          <w:szCs w:val="24"/>
        </w:rPr>
        <w:t>licenciatura). Universidad de Costa Rica, San José, Costa Rica.</w:t>
      </w:r>
    </w:p>
    <w:p w14:paraId="78AE9B78" w14:textId="77777777" w:rsidR="00EF26BC" w:rsidRDefault="00EF26BC">
      <w:pPr>
        <w:spacing w:line="137" w:lineRule="exact"/>
        <w:rPr>
          <w:sz w:val="20"/>
          <w:szCs w:val="20"/>
        </w:rPr>
      </w:pPr>
    </w:p>
    <w:p w14:paraId="78AE9B79" w14:textId="77777777" w:rsidR="00EF26BC" w:rsidRDefault="00343DF1">
      <w:pPr>
        <w:spacing w:line="261" w:lineRule="auto"/>
        <w:ind w:left="1300" w:right="1820" w:hanging="481"/>
        <w:jc w:val="both"/>
        <w:rPr>
          <w:sz w:val="20"/>
          <w:szCs w:val="20"/>
        </w:rPr>
      </w:pPr>
      <w:r>
        <w:rPr>
          <w:rFonts w:eastAsia="Times New Roman"/>
          <w:sz w:val="24"/>
          <w:szCs w:val="24"/>
        </w:rPr>
        <w:t xml:space="preserve">Chiarotti, S. (2011). Contribuciones al debate </w:t>
      </w:r>
      <w:r>
        <w:rPr>
          <w:rFonts w:eastAsia="Times New Roman"/>
          <w:sz w:val="24"/>
          <w:szCs w:val="24"/>
        </w:rPr>
        <w:t>sobre la tipificación penal del femicidio/feminicidio (S. Chiarotti, Ed.). Lima, Perú: Comité de América Latina y el Caribe para la Defensa de los Derechos de las Mujeres.</w:t>
      </w:r>
    </w:p>
    <w:p w14:paraId="78AE9B7A" w14:textId="77777777" w:rsidR="00EF26BC" w:rsidRDefault="00EF26BC">
      <w:pPr>
        <w:spacing w:line="127" w:lineRule="exact"/>
        <w:rPr>
          <w:sz w:val="20"/>
          <w:szCs w:val="20"/>
        </w:rPr>
      </w:pPr>
    </w:p>
    <w:p w14:paraId="78AE9B7B" w14:textId="77777777" w:rsidR="00EF26BC" w:rsidRDefault="00343DF1">
      <w:pPr>
        <w:spacing w:line="261" w:lineRule="auto"/>
        <w:ind w:left="1300" w:right="1820" w:hanging="481"/>
        <w:jc w:val="both"/>
        <w:rPr>
          <w:sz w:val="20"/>
          <w:szCs w:val="20"/>
        </w:rPr>
      </w:pPr>
      <w:r>
        <w:rPr>
          <w:rFonts w:eastAsia="Times New Roman"/>
          <w:sz w:val="24"/>
          <w:szCs w:val="24"/>
        </w:rPr>
        <w:t xml:space="preserve">COMESCO (2018). </w:t>
      </w:r>
      <w:r>
        <w:rPr>
          <w:rFonts w:eastAsia="Times New Roman"/>
          <w:i/>
          <w:iCs/>
          <w:sz w:val="24"/>
          <w:szCs w:val="24"/>
        </w:rPr>
        <w:t>Violencia contra las mujeres en Costa Rica período 2015-2017</w:t>
      </w:r>
      <w:r>
        <w:rPr>
          <w:rFonts w:eastAsia="Times New Roman"/>
          <w:sz w:val="24"/>
          <w:szCs w:val="24"/>
        </w:rPr>
        <w:t>. San J</w:t>
      </w:r>
      <w:r>
        <w:rPr>
          <w:rFonts w:eastAsia="Times New Roman"/>
          <w:sz w:val="24"/>
          <w:szCs w:val="24"/>
        </w:rPr>
        <w:t>osé, Costa Rica: Comisión Técnica Institucional sobre</w:t>
      </w:r>
      <w:r>
        <w:rPr>
          <w:rFonts w:eastAsia="Times New Roman"/>
          <w:i/>
          <w:iCs/>
          <w:sz w:val="24"/>
          <w:szCs w:val="24"/>
        </w:rPr>
        <w:t xml:space="preserve"> </w:t>
      </w:r>
      <w:r>
        <w:rPr>
          <w:rFonts w:eastAsia="Times New Roman"/>
          <w:sz w:val="24"/>
          <w:szCs w:val="24"/>
        </w:rPr>
        <w:t>Estadísticas de Convivencia y Seguridad Ciudadana.</w:t>
      </w:r>
    </w:p>
    <w:p w14:paraId="78AE9B7C" w14:textId="77777777" w:rsidR="00EF26BC" w:rsidRDefault="00EF26BC">
      <w:pPr>
        <w:spacing w:line="127" w:lineRule="exact"/>
        <w:rPr>
          <w:sz w:val="20"/>
          <w:szCs w:val="20"/>
        </w:rPr>
      </w:pPr>
    </w:p>
    <w:p w14:paraId="78AE9B7D" w14:textId="77777777" w:rsidR="00EF26BC" w:rsidRDefault="00343DF1">
      <w:pPr>
        <w:ind w:left="820"/>
        <w:rPr>
          <w:sz w:val="20"/>
          <w:szCs w:val="20"/>
        </w:rPr>
      </w:pPr>
      <w:r>
        <w:rPr>
          <w:rFonts w:eastAsia="Times New Roman"/>
          <w:sz w:val="24"/>
          <w:szCs w:val="24"/>
        </w:rPr>
        <w:t>de las Herras, S. (2009). Aproximación a las teorías feministas. Universitas.</w:t>
      </w:r>
    </w:p>
    <w:p w14:paraId="78AE9B7E" w14:textId="77777777" w:rsidR="00EF26BC" w:rsidRDefault="00EF26BC">
      <w:pPr>
        <w:spacing w:line="41" w:lineRule="exact"/>
        <w:rPr>
          <w:sz w:val="20"/>
          <w:szCs w:val="20"/>
        </w:rPr>
      </w:pPr>
    </w:p>
    <w:p w14:paraId="78AE9B7F" w14:textId="77777777" w:rsidR="00EF26BC" w:rsidRDefault="00343DF1">
      <w:pPr>
        <w:ind w:left="1300"/>
        <w:rPr>
          <w:sz w:val="20"/>
          <w:szCs w:val="20"/>
        </w:rPr>
      </w:pPr>
      <w:r>
        <w:rPr>
          <w:rFonts w:eastAsia="Times New Roman"/>
          <w:sz w:val="24"/>
          <w:szCs w:val="24"/>
        </w:rPr>
        <w:t>Revista de Filosofía, Derecho y Política. 9, 45-82.</w:t>
      </w:r>
    </w:p>
    <w:p w14:paraId="78AE9B80" w14:textId="77777777" w:rsidR="00EF26BC" w:rsidRDefault="00EF26BC">
      <w:pPr>
        <w:spacing w:line="165" w:lineRule="exact"/>
        <w:rPr>
          <w:sz w:val="20"/>
          <w:szCs w:val="20"/>
        </w:rPr>
      </w:pPr>
    </w:p>
    <w:p w14:paraId="78AE9B81" w14:textId="77777777" w:rsidR="00EF26BC" w:rsidRDefault="00343DF1">
      <w:pPr>
        <w:ind w:left="820"/>
        <w:rPr>
          <w:sz w:val="20"/>
          <w:szCs w:val="20"/>
        </w:rPr>
      </w:pPr>
      <w:r>
        <w:rPr>
          <w:rFonts w:eastAsia="Times New Roman"/>
          <w:sz w:val="24"/>
          <w:szCs w:val="24"/>
        </w:rPr>
        <w:t xml:space="preserve">Facio, A y Fries, </w:t>
      </w:r>
      <w:r>
        <w:rPr>
          <w:rFonts w:eastAsia="Times New Roman"/>
          <w:sz w:val="24"/>
          <w:szCs w:val="24"/>
        </w:rPr>
        <w:t xml:space="preserve">L. (1999). </w:t>
      </w:r>
      <w:r>
        <w:rPr>
          <w:rFonts w:eastAsia="Times New Roman"/>
          <w:i/>
          <w:iCs/>
          <w:sz w:val="24"/>
          <w:szCs w:val="24"/>
        </w:rPr>
        <w:t>Género y derecho</w:t>
      </w:r>
      <w:r>
        <w:rPr>
          <w:rFonts w:eastAsia="Times New Roman"/>
          <w:sz w:val="24"/>
          <w:szCs w:val="24"/>
        </w:rPr>
        <w:t>. Santiago, Chile: LOM Ediciones.</w:t>
      </w:r>
    </w:p>
    <w:p w14:paraId="78AE9B82" w14:textId="77777777" w:rsidR="00EF26BC" w:rsidRDefault="00EF26BC">
      <w:pPr>
        <w:spacing w:line="194" w:lineRule="exact"/>
        <w:rPr>
          <w:sz w:val="20"/>
          <w:szCs w:val="20"/>
        </w:rPr>
      </w:pPr>
    </w:p>
    <w:p w14:paraId="78AE9B83" w14:textId="77777777" w:rsidR="00EF26BC" w:rsidRDefault="00343DF1">
      <w:pPr>
        <w:spacing w:line="284" w:lineRule="auto"/>
        <w:ind w:left="1300" w:right="1820" w:hanging="481"/>
        <w:jc w:val="both"/>
        <w:rPr>
          <w:sz w:val="20"/>
          <w:szCs w:val="20"/>
        </w:rPr>
      </w:pPr>
      <w:r>
        <w:rPr>
          <w:rFonts w:eastAsia="Times New Roman"/>
          <w:sz w:val="24"/>
          <w:szCs w:val="24"/>
        </w:rPr>
        <w:t>Fernández, A.M. (2012). FEMICIDIOS: la ferocidad del patriarcado. Revista Nomadías. 16, 47-73.</w:t>
      </w:r>
    </w:p>
    <w:p w14:paraId="78AE9B84" w14:textId="77777777" w:rsidR="00EF26BC" w:rsidRDefault="00EF26BC">
      <w:pPr>
        <w:spacing w:line="100" w:lineRule="exact"/>
        <w:rPr>
          <w:sz w:val="20"/>
          <w:szCs w:val="20"/>
        </w:rPr>
      </w:pPr>
    </w:p>
    <w:p w14:paraId="78AE9B85" w14:textId="77777777" w:rsidR="00EF26BC" w:rsidRDefault="00343DF1">
      <w:pPr>
        <w:spacing w:line="255" w:lineRule="auto"/>
        <w:ind w:left="1300" w:right="1820" w:hanging="481"/>
        <w:jc w:val="both"/>
        <w:rPr>
          <w:sz w:val="20"/>
          <w:szCs w:val="20"/>
        </w:rPr>
      </w:pPr>
      <w:r>
        <w:rPr>
          <w:rFonts w:eastAsia="Times New Roman"/>
          <w:sz w:val="24"/>
          <w:szCs w:val="24"/>
        </w:rPr>
        <w:t>Haimovich,</w:t>
      </w:r>
      <w:r>
        <w:rPr>
          <w:sz w:val="20"/>
          <w:szCs w:val="20"/>
        </w:rPr>
        <w:t xml:space="preserve"> </w:t>
      </w:r>
      <w:r>
        <w:rPr>
          <w:rFonts w:eastAsia="Times New Roman"/>
          <w:sz w:val="24"/>
          <w:szCs w:val="24"/>
        </w:rPr>
        <w:t>P.L. (1990). El concepto de los malos tratos. Ideología y representaciones sociales. En</w:t>
      </w:r>
      <w:r>
        <w:rPr>
          <w:rFonts w:eastAsia="Times New Roman"/>
          <w:sz w:val="24"/>
          <w:szCs w:val="24"/>
        </w:rPr>
        <w:t xml:space="preserve">: Sánchez, C. y Maqueira d’Angelo, V. (Coords.). </w:t>
      </w:r>
      <w:r>
        <w:rPr>
          <w:rFonts w:eastAsia="Times New Roman"/>
          <w:i/>
          <w:iCs/>
          <w:sz w:val="24"/>
          <w:szCs w:val="24"/>
        </w:rPr>
        <w:t>Violencia y sociedad patriarcal</w:t>
      </w:r>
      <w:r>
        <w:rPr>
          <w:rFonts w:eastAsia="Times New Roman"/>
          <w:sz w:val="24"/>
          <w:szCs w:val="24"/>
        </w:rPr>
        <w:t xml:space="preserve"> (pp. 81-104). Madrid, España: Pablo Iglesias.</w:t>
      </w:r>
    </w:p>
    <w:p w14:paraId="78AE9B86" w14:textId="77777777" w:rsidR="00EF26BC" w:rsidRDefault="00EF26BC">
      <w:pPr>
        <w:spacing w:line="200" w:lineRule="exact"/>
        <w:rPr>
          <w:sz w:val="20"/>
          <w:szCs w:val="20"/>
        </w:rPr>
      </w:pPr>
    </w:p>
    <w:p w14:paraId="78AE9B87" w14:textId="77777777" w:rsidR="00EF26BC" w:rsidRDefault="00EF26BC">
      <w:pPr>
        <w:spacing w:line="226" w:lineRule="exact"/>
        <w:rPr>
          <w:sz w:val="20"/>
          <w:szCs w:val="20"/>
        </w:rPr>
      </w:pPr>
    </w:p>
    <w:p w14:paraId="78AE9B88" w14:textId="77777777" w:rsidR="00EF26BC" w:rsidRDefault="00343DF1">
      <w:pPr>
        <w:ind w:right="1000"/>
        <w:jc w:val="center"/>
        <w:rPr>
          <w:sz w:val="20"/>
          <w:szCs w:val="20"/>
        </w:rPr>
      </w:pPr>
      <w:r>
        <w:rPr>
          <w:rFonts w:eastAsia="Times New Roman"/>
          <w:sz w:val="24"/>
          <w:szCs w:val="24"/>
        </w:rPr>
        <w:t xml:space="preserve">Hidalgo, A. (2009). </w:t>
      </w:r>
      <w:r>
        <w:rPr>
          <w:rFonts w:eastAsia="Times New Roman"/>
          <w:i/>
          <w:iCs/>
          <w:sz w:val="24"/>
          <w:szCs w:val="24"/>
        </w:rPr>
        <w:t>Femicidio en Costa Rica 2000-2004</w:t>
      </w:r>
      <w:r>
        <w:rPr>
          <w:rFonts w:eastAsia="Times New Roman"/>
          <w:sz w:val="24"/>
          <w:szCs w:val="24"/>
        </w:rPr>
        <w:t>. San José: Instituto</w:t>
      </w:r>
    </w:p>
    <w:p w14:paraId="78AE9B89" w14:textId="77777777" w:rsidR="00EF26BC" w:rsidRDefault="00EF26BC">
      <w:pPr>
        <w:spacing w:line="36" w:lineRule="exact"/>
        <w:rPr>
          <w:sz w:val="20"/>
          <w:szCs w:val="20"/>
        </w:rPr>
      </w:pPr>
    </w:p>
    <w:p w14:paraId="78AE9B8A" w14:textId="77777777" w:rsidR="00EF26BC" w:rsidRDefault="00343DF1">
      <w:pPr>
        <w:ind w:right="980"/>
        <w:jc w:val="center"/>
        <w:rPr>
          <w:sz w:val="20"/>
          <w:szCs w:val="20"/>
        </w:rPr>
      </w:pPr>
      <w:r>
        <w:rPr>
          <w:rFonts w:eastAsia="Times New Roman"/>
          <w:sz w:val="24"/>
          <w:szCs w:val="24"/>
        </w:rPr>
        <w:t xml:space="preserve">Nacional de las Mujeres y Centro Feminista de </w:t>
      </w:r>
      <w:r>
        <w:rPr>
          <w:rFonts w:eastAsia="Times New Roman"/>
          <w:sz w:val="24"/>
          <w:szCs w:val="24"/>
        </w:rPr>
        <w:t>Información y Acción.</w:t>
      </w:r>
    </w:p>
    <w:p w14:paraId="78AE9B8B" w14:textId="77777777" w:rsidR="00EF26BC" w:rsidRDefault="00EF26BC">
      <w:pPr>
        <w:spacing w:line="160" w:lineRule="exact"/>
        <w:rPr>
          <w:sz w:val="20"/>
          <w:szCs w:val="20"/>
        </w:rPr>
      </w:pPr>
    </w:p>
    <w:p w14:paraId="78AE9B8C" w14:textId="77777777" w:rsidR="00EF26BC" w:rsidRDefault="00343DF1">
      <w:pPr>
        <w:spacing w:line="265" w:lineRule="auto"/>
        <w:ind w:left="1300" w:right="1820" w:hanging="481"/>
        <w:jc w:val="both"/>
        <w:rPr>
          <w:sz w:val="20"/>
          <w:szCs w:val="20"/>
        </w:rPr>
      </w:pPr>
      <w:r>
        <w:rPr>
          <w:rFonts w:eastAsia="Times New Roman"/>
          <w:sz w:val="23"/>
          <w:szCs w:val="23"/>
        </w:rPr>
        <w:t xml:space="preserve">INAMU (2013). </w:t>
      </w:r>
      <w:r>
        <w:rPr>
          <w:rFonts w:eastAsia="Times New Roman"/>
          <w:i/>
          <w:iCs/>
          <w:sz w:val="23"/>
          <w:szCs w:val="23"/>
        </w:rPr>
        <w:t>La representación del femicidio en la prensa escrita durante el</w:t>
      </w:r>
      <w:r>
        <w:rPr>
          <w:rFonts w:eastAsia="Times New Roman"/>
          <w:sz w:val="23"/>
          <w:szCs w:val="23"/>
        </w:rPr>
        <w:t xml:space="preserve"> </w:t>
      </w:r>
      <w:r>
        <w:rPr>
          <w:rFonts w:eastAsia="Times New Roman"/>
          <w:i/>
          <w:iCs/>
          <w:sz w:val="23"/>
          <w:szCs w:val="23"/>
        </w:rPr>
        <w:t>período 2005-2009</w:t>
      </w:r>
      <w:r>
        <w:rPr>
          <w:rFonts w:eastAsia="Times New Roman"/>
          <w:sz w:val="23"/>
          <w:szCs w:val="23"/>
        </w:rPr>
        <w:t>. San José, Costa Rica: Instituto Nacional de las Mujeres.</w:t>
      </w:r>
    </w:p>
    <w:p w14:paraId="78AE9B8D" w14:textId="77777777" w:rsidR="00EF26BC" w:rsidRDefault="00EF26BC">
      <w:pPr>
        <w:spacing w:line="2" w:lineRule="exact"/>
        <w:rPr>
          <w:sz w:val="20"/>
          <w:szCs w:val="20"/>
        </w:rPr>
      </w:pPr>
    </w:p>
    <w:p w14:paraId="78AE9B8E" w14:textId="77777777" w:rsidR="00EF26BC" w:rsidRDefault="00343DF1">
      <w:pPr>
        <w:spacing w:line="259" w:lineRule="auto"/>
        <w:ind w:left="1300" w:right="1820"/>
        <w:jc w:val="both"/>
        <w:rPr>
          <w:sz w:val="20"/>
          <w:szCs w:val="20"/>
        </w:rPr>
      </w:pPr>
      <w:r>
        <w:rPr>
          <w:rFonts w:eastAsia="Times New Roman"/>
          <w:sz w:val="23"/>
          <w:szCs w:val="23"/>
        </w:rPr>
        <w:t>Recuperado de: https://www.inamu.go.cr/documents/10179/20949/La+representaci%C</w:t>
      </w:r>
      <w:r>
        <w:rPr>
          <w:rFonts w:eastAsia="Times New Roman"/>
          <w:sz w:val="23"/>
          <w:szCs w:val="23"/>
        </w:rPr>
        <w:t>3% B3n+del+femicidio+en+la+prensa+escrita+durante+el+periodo+2005+200 9+(2013)/c588f7dc-a77d-42ad-82b4-1b3cda7550e1.</w:t>
      </w:r>
    </w:p>
    <w:p w14:paraId="78AE9B8F" w14:textId="77777777" w:rsidR="00EF26BC" w:rsidRDefault="00EF26BC">
      <w:pPr>
        <w:spacing w:line="130" w:lineRule="exact"/>
        <w:rPr>
          <w:sz w:val="20"/>
          <w:szCs w:val="20"/>
        </w:rPr>
      </w:pPr>
    </w:p>
    <w:p w14:paraId="78AE9B90" w14:textId="77777777" w:rsidR="00EF26BC" w:rsidRDefault="00343DF1">
      <w:pPr>
        <w:spacing w:line="261" w:lineRule="auto"/>
        <w:ind w:left="1300" w:right="1820" w:hanging="481"/>
        <w:jc w:val="both"/>
        <w:rPr>
          <w:sz w:val="20"/>
          <w:szCs w:val="20"/>
        </w:rPr>
      </w:pPr>
      <w:r w:rsidRPr="00FA315E">
        <w:rPr>
          <w:rFonts w:eastAsia="Times New Roman"/>
          <w:sz w:val="24"/>
          <w:szCs w:val="24"/>
          <w:lang w:val="en-US"/>
        </w:rPr>
        <w:t xml:space="preserve">Initiative for Peacebuilding (2011). </w:t>
      </w:r>
      <w:r w:rsidRPr="00FA315E">
        <w:rPr>
          <w:rFonts w:eastAsia="Times New Roman"/>
          <w:i/>
          <w:iCs/>
          <w:sz w:val="24"/>
          <w:szCs w:val="24"/>
          <w:lang w:val="en-US"/>
        </w:rPr>
        <w:t>Women and gun violence: key findings from</w:t>
      </w:r>
      <w:r w:rsidRPr="00FA315E">
        <w:rPr>
          <w:rFonts w:eastAsia="Times New Roman"/>
          <w:sz w:val="24"/>
          <w:szCs w:val="24"/>
          <w:lang w:val="en-US"/>
        </w:rPr>
        <w:t xml:space="preserve"> </w:t>
      </w:r>
      <w:r w:rsidRPr="00FA315E">
        <w:rPr>
          <w:rFonts w:eastAsia="Times New Roman"/>
          <w:i/>
          <w:iCs/>
          <w:sz w:val="24"/>
          <w:szCs w:val="24"/>
          <w:lang w:val="en-US"/>
        </w:rPr>
        <w:t>Río de Janeiro (Brazil), San Salvador (El Salvador) and Map</w:t>
      </w:r>
      <w:r w:rsidRPr="00FA315E">
        <w:rPr>
          <w:rFonts w:eastAsia="Times New Roman"/>
          <w:i/>
          <w:iCs/>
          <w:sz w:val="24"/>
          <w:szCs w:val="24"/>
          <w:lang w:val="en-US"/>
        </w:rPr>
        <w:t>uto (Mozambique)</w:t>
      </w:r>
      <w:r w:rsidRPr="00FA315E">
        <w:rPr>
          <w:rFonts w:eastAsia="Times New Roman"/>
          <w:sz w:val="24"/>
          <w:szCs w:val="24"/>
          <w:lang w:val="en-US"/>
        </w:rPr>
        <w:t xml:space="preserve">. </w:t>
      </w:r>
      <w:r>
        <w:rPr>
          <w:rFonts w:eastAsia="Times New Roman"/>
          <w:sz w:val="24"/>
          <w:szCs w:val="24"/>
        </w:rPr>
        <w:t xml:space="preserve">Bruselas, Bélgica: </w:t>
      </w:r>
      <w:proofErr w:type="spellStart"/>
      <w:r>
        <w:rPr>
          <w:rFonts w:eastAsia="Times New Roman"/>
          <w:sz w:val="24"/>
          <w:szCs w:val="24"/>
        </w:rPr>
        <w:t>Peace</w:t>
      </w:r>
      <w:proofErr w:type="spellEnd"/>
      <w:r>
        <w:rPr>
          <w:rFonts w:eastAsia="Times New Roman"/>
          <w:sz w:val="24"/>
          <w:szCs w:val="24"/>
        </w:rPr>
        <w:t xml:space="preserve"> </w:t>
      </w:r>
      <w:proofErr w:type="spellStart"/>
      <w:r>
        <w:rPr>
          <w:rFonts w:eastAsia="Times New Roman"/>
          <w:sz w:val="24"/>
          <w:szCs w:val="24"/>
        </w:rPr>
        <w:t>Studies</w:t>
      </w:r>
      <w:proofErr w:type="spellEnd"/>
      <w:r>
        <w:rPr>
          <w:rFonts w:eastAsia="Times New Roman"/>
          <w:sz w:val="24"/>
          <w:szCs w:val="24"/>
        </w:rPr>
        <w:t xml:space="preserve"> Group (NEP/CES).</w:t>
      </w:r>
    </w:p>
    <w:p w14:paraId="78AE9B91" w14:textId="77777777" w:rsidR="00EF26BC" w:rsidRDefault="00EF26BC">
      <w:pPr>
        <w:spacing w:line="200" w:lineRule="exact"/>
        <w:rPr>
          <w:sz w:val="20"/>
          <w:szCs w:val="20"/>
        </w:rPr>
      </w:pPr>
    </w:p>
    <w:p w14:paraId="78AE9B92" w14:textId="77777777" w:rsidR="00EF26BC" w:rsidRDefault="00EF26BC">
      <w:pPr>
        <w:spacing w:line="200" w:lineRule="exact"/>
        <w:rPr>
          <w:sz w:val="20"/>
          <w:szCs w:val="20"/>
        </w:rPr>
      </w:pPr>
    </w:p>
    <w:p w14:paraId="78AE9B93" w14:textId="77777777" w:rsidR="00EF26BC" w:rsidRDefault="00EF26BC">
      <w:pPr>
        <w:spacing w:line="200" w:lineRule="exact"/>
        <w:rPr>
          <w:sz w:val="20"/>
          <w:szCs w:val="20"/>
        </w:rPr>
      </w:pPr>
    </w:p>
    <w:p w14:paraId="78AE9B94" w14:textId="77777777" w:rsidR="00EF26BC" w:rsidRDefault="00EF26BC">
      <w:pPr>
        <w:spacing w:line="369"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B98" w14:textId="77777777">
        <w:trPr>
          <w:trHeight w:val="240"/>
        </w:trPr>
        <w:tc>
          <w:tcPr>
            <w:tcW w:w="6940" w:type="dxa"/>
            <w:vAlign w:val="bottom"/>
          </w:tcPr>
          <w:p w14:paraId="78AE9B95"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96" w14:textId="77777777" w:rsidR="00EF26BC" w:rsidRDefault="00343DF1">
            <w:pPr>
              <w:jc w:val="right"/>
              <w:rPr>
                <w:sz w:val="20"/>
                <w:szCs w:val="20"/>
              </w:rPr>
            </w:pPr>
            <w:r>
              <w:rPr>
                <w:rFonts w:ascii="Arial" w:eastAsia="Arial" w:hAnsi="Arial" w:cs="Arial"/>
              </w:rPr>
              <w:t>112</w:t>
            </w:r>
          </w:p>
        </w:tc>
        <w:tc>
          <w:tcPr>
            <w:tcW w:w="0" w:type="dxa"/>
            <w:vAlign w:val="bottom"/>
          </w:tcPr>
          <w:p w14:paraId="78AE9B97" w14:textId="77777777" w:rsidR="00EF26BC" w:rsidRDefault="00EF26BC">
            <w:pPr>
              <w:rPr>
                <w:sz w:val="1"/>
                <w:szCs w:val="1"/>
              </w:rPr>
            </w:pPr>
          </w:p>
        </w:tc>
      </w:tr>
      <w:tr w:rsidR="00EF26BC" w14:paraId="78AE9B9C" w14:textId="77777777">
        <w:trPr>
          <w:trHeight w:val="270"/>
        </w:trPr>
        <w:tc>
          <w:tcPr>
            <w:tcW w:w="6940" w:type="dxa"/>
            <w:vAlign w:val="bottom"/>
          </w:tcPr>
          <w:p w14:paraId="78AE9B99"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B9A" w14:textId="77777777" w:rsidR="00EF26BC" w:rsidRDefault="00EF26BC">
            <w:pPr>
              <w:rPr>
                <w:sz w:val="23"/>
                <w:szCs w:val="23"/>
              </w:rPr>
            </w:pPr>
          </w:p>
        </w:tc>
        <w:tc>
          <w:tcPr>
            <w:tcW w:w="0" w:type="dxa"/>
            <w:vAlign w:val="bottom"/>
          </w:tcPr>
          <w:p w14:paraId="78AE9B9B" w14:textId="77777777" w:rsidR="00EF26BC" w:rsidRDefault="00EF26BC">
            <w:pPr>
              <w:rPr>
                <w:sz w:val="1"/>
                <w:szCs w:val="1"/>
              </w:rPr>
            </w:pPr>
          </w:p>
        </w:tc>
      </w:tr>
    </w:tbl>
    <w:p w14:paraId="78AE9B9D" w14:textId="77777777" w:rsidR="00EF26BC" w:rsidRDefault="00EF26BC">
      <w:pPr>
        <w:sectPr w:rsidR="00EF26BC">
          <w:pgSz w:w="12240" w:h="15840"/>
          <w:pgMar w:top="714" w:right="460" w:bottom="112" w:left="1440" w:header="0" w:footer="0" w:gutter="0"/>
          <w:cols w:space="720" w:equalWidth="0">
            <w:col w:w="10340"/>
          </w:cols>
        </w:sectPr>
      </w:pPr>
    </w:p>
    <w:p w14:paraId="78AE9B9E" w14:textId="77777777" w:rsidR="00EF26BC" w:rsidRDefault="00343DF1">
      <w:pPr>
        <w:ind w:left="2960"/>
        <w:rPr>
          <w:sz w:val="20"/>
          <w:szCs w:val="20"/>
        </w:rPr>
      </w:pPr>
      <w:bookmarkStart w:id="24" w:name="page25"/>
      <w:bookmarkEnd w:id="24"/>
      <w:r>
        <w:rPr>
          <w:rFonts w:ascii="Arial" w:eastAsia="Arial" w:hAnsi="Arial" w:cs="Arial"/>
          <w:sz w:val="20"/>
          <w:szCs w:val="20"/>
        </w:rPr>
        <w:lastRenderedPageBreak/>
        <w:t xml:space="preserve">Violencia contra las mujeres y </w:t>
      </w:r>
      <w:r>
        <w:rPr>
          <w:rFonts w:ascii="Arial" w:eastAsia="Arial" w:hAnsi="Arial" w:cs="Arial"/>
          <w:sz w:val="20"/>
          <w:szCs w:val="20"/>
        </w:rPr>
        <w:t>femicidio</w:t>
      </w:r>
    </w:p>
    <w:p w14:paraId="78AE9B9F" w14:textId="77777777" w:rsidR="00EF26BC" w:rsidRDefault="00EF26BC">
      <w:pPr>
        <w:spacing w:line="200" w:lineRule="exact"/>
        <w:rPr>
          <w:sz w:val="20"/>
          <w:szCs w:val="20"/>
        </w:rPr>
      </w:pPr>
    </w:p>
    <w:p w14:paraId="78AE9BA0" w14:textId="77777777" w:rsidR="00EF26BC" w:rsidRDefault="00EF26BC">
      <w:pPr>
        <w:spacing w:line="331" w:lineRule="exact"/>
        <w:rPr>
          <w:sz w:val="20"/>
          <w:szCs w:val="20"/>
        </w:rPr>
      </w:pPr>
    </w:p>
    <w:p w14:paraId="78AE9BA1" w14:textId="77777777" w:rsidR="00EF26BC" w:rsidRDefault="00343DF1">
      <w:pPr>
        <w:ind w:left="820"/>
        <w:rPr>
          <w:sz w:val="20"/>
          <w:szCs w:val="20"/>
        </w:rPr>
      </w:pPr>
      <w:r>
        <w:rPr>
          <w:rFonts w:eastAsia="Times New Roman"/>
          <w:sz w:val="24"/>
          <w:szCs w:val="24"/>
        </w:rPr>
        <w:t xml:space="preserve">Instituto  Nacional  de  Estadística  y  Censos  (2019).  </w:t>
      </w:r>
      <w:r>
        <w:rPr>
          <w:rFonts w:eastAsia="Times New Roman"/>
          <w:i/>
          <w:iCs/>
          <w:sz w:val="24"/>
          <w:szCs w:val="24"/>
        </w:rPr>
        <w:t>Encuesta  Nacional  de</w:t>
      </w:r>
    </w:p>
    <w:p w14:paraId="78AE9BA2" w14:textId="77777777" w:rsidR="00EF26BC" w:rsidRDefault="00EF26BC">
      <w:pPr>
        <w:spacing w:line="36" w:lineRule="exact"/>
        <w:rPr>
          <w:sz w:val="20"/>
          <w:szCs w:val="20"/>
        </w:rPr>
      </w:pPr>
    </w:p>
    <w:p w14:paraId="78AE9BA3" w14:textId="77777777" w:rsidR="00EF26BC" w:rsidRDefault="00343DF1">
      <w:pPr>
        <w:spacing w:line="250" w:lineRule="auto"/>
        <w:ind w:left="1300" w:right="1800"/>
        <w:rPr>
          <w:sz w:val="20"/>
          <w:szCs w:val="20"/>
        </w:rPr>
      </w:pPr>
      <w:r>
        <w:rPr>
          <w:rFonts w:eastAsia="Times New Roman"/>
          <w:i/>
          <w:iCs/>
          <w:sz w:val="24"/>
          <w:szCs w:val="24"/>
        </w:rPr>
        <w:t>Hogares</w:t>
      </w:r>
      <w:r>
        <w:rPr>
          <w:rFonts w:eastAsia="Times New Roman"/>
          <w:sz w:val="24"/>
          <w:szCs w:val="24"/>
        </w:rPr>
        <w:t>. San José, Costa Rica. Recuperado en</w:t>
      </w:r>
      <w:r>
        <w:rPr>
          <w:rFonts w:eastAsia="Times New Roman"/>
          <w:i/>
          <w:iCs/>
          <w:sz w:val="24"/>
          <w:szCs w:val="24"/>
        </w:rPr>
        <w:t xml:space="preserve"> </w:t>
      </w:r>
      <w:r>
        <w:rPr>
          <w:rFonts w:eastAsia="Times New Roman"/>
          <w:sz w:val="24"/>
          <w:szCs w:val="24"/>
        </w:rPr>
        <w:t>https://www.inec.cr/encuestas/encuesta-nacional-de-hogares.</w:t>
      </w:r>
    </w:p>
    <w:p w14:paraId="78AE9BA4" w14:textId="77777777" w:rsidR="00EF26BC" w:rsidRDefault="00EF26BC">
      <w:pPr>
        <w:spacing w:line="140" w:lineRule="exact"/>
        <w:rPr>
          <w:sz w:val="20"/>
          <w:szCs w:val="20"/>
        </w:rPr>
      </w:pPr>
    </w:p>
    <w:p w14:paraId="78AE9BA5" w14:textId="77777777" w:rsidR="00EF26BC" w:rsidRDefault="00343DF1">
      <w:pPr>
        <w:ind w:left="820"/>
        <w:rPr>
          <w:sz w:val="20"/>
          <w:szCs w:val="20"/>
        </w:rPr>
      </w:pPr>
      <w:r>
        <w:rPr>
          <w:rFonts w:eastAsia="Times New Roman"/>
          <w:sz w:val="24"/>
          <w:szCs w:val="24"/>
        </w:rPr>
        <w:t xml:space="preserve">Instituto Nacional de las Mujeres (2020). </w:t>
      </w:r>
      <w:r>
        <w:rPr>
          <w:rFonts w:eastAsia="Times New Roman"/>
          <w:i/>
          <w:iCs/>
          <w:sz w:val="24"/>
          <w:szCs w:val="24"/>
        </w:rPr>
        <w:t>Femicidio</w:t>
      </w:r>
      <w:r>
        <w:rPr>
          <w:rFonts w:eastAsia="Times New Roman"/>
          <w:sz w:val="24"/>
          <w:szCs w:val="24"/>
        </w:rPr>
        <w:t>. San José, Costa Rica:</w:t>
      </w:r>
    </w:p>
    <w:p w14:paraId="78AE9BA6" w14:textId="77777777" w:rsidR="00EF26BC" w:rsidRDefault="00EF26BC">
      <w:pPr>
        <w:spacing w:line="36" w:lineRule="exact"/>
        <w:rPr>
          <w:sz w:val="20"/>
          <w:szCs w:val="20"/>
        </w:rPr>
      </w:pPr>
    </w:p>
    <w:p w14:paraId="78AE9BA7" w14:textId="77777777" w:rsidR="00EF26BC" w:rsidRDefault="00343DF1">
      <w:pPr>
        <w:spacing w:line="250" w:lineRule="auto"/>
        <w:ind w:left="1300" w:right="1800"/>
        <w:rPr>
          <w:sz w:val="20"/>
          <w:szCs w:val="20"/>
        </w:rPr>
      </w:pPr>
      <w:r>
        <w:rPr>
          <w:rFonts w:eastAsia="Times New Roman"/>
          <w:sz w:val="24"/>
          <w:szCs w:val="24"/>
        </w:rPr>
        <w:t>Instituto Nacional de las Mujeres. Recuperado en https://www.inamu.go.cr/web/inamu/femicidio.</w:t>
      </w:r>
    </w:p>
    <w:p w14:paraId="78AE9BA8" w14:textId="77777777" w:rsidR="00EF26BC" w:rsidRDefault="00EF26BC">
      <w:pPr>
        <w:spacing w:line="140" w:lineRule="exact"/>
        <w:rPr>
          <w:sz w:val="20"/>
          <w:szCs w:val="20"/>
        </w:rPr>
      </w:pPr>
    </w:p>
    <w:p w14:paraId="78AE9BA9" w14:textId="77777777" w:rsidR="00EF26BC" w:rsidRDefault="00343DF1">
      <w:pPr>
        <w:spacing w:line="284" w:lineRule="auto"/>
        <w:ind w:left="1300" w:right="1800" w:hanging="481"/>
        <w:jc w:val="both"/>
        <w:rPr>
          <w:sz w:val="20"/>
          <w:szCs w:val="20"/>
        </w:rPr>
      </w:pPr>
      <w:r>
        <w:rPr>
          <w:rFonts w:eastAsia="Times New Roman"/>
          <w:sz w:val="24"/>
          <w:szCs w:val="24"/>
        </w:rPr>
        <w:t xml:space="preserve">Lagarde, M. (2004). Por </w:t>
      </w:r>
      <w:r>
        <w:rPr>
          <w:rFonts w:eastAsia="Times New Roman"/>
          <w:sz w:val="24"/>
          <w:szCs w:val="24"/>
        </w:rPr>
        <w:t>la vida y libertad de las mujeres: fin al feminicidio/Día V Juárez. Fem. 28(255), 26-34.</w:t>
      </w:r>
    </w:p>
    <w:p w14:paraId="78AE9BAA" w14:textId="77777777" w:rsidR="00EF26BC" w:rsidRDefault="00EF26BC">
      <w:pPr>
        <w:spacing w:line="100" w:lineRule="exact"/>
        <w:rPr>
          <w:sz w:val="20"/>
          <w:szCs w:val="20"/>
        </w:rPr>
      </w:pPr>
    </w:p>
    <w:p w14:paraId="78AE9BAB" w14:textId="77777777" w:rsidR="00EF26BC" w:rsidRDefault="00343DF1">
      <w:pPr>
        <w:spacing w:line="261" w:lineRule="auto"/>
        <w:ind w:left="1300" w:right="1800" w:hanging="481"/>
        <w:jc w:val="both"/>
        <w:rPr>
          <w:sz w:val="20"/>
          <w:szCs w:val="20"/>
        </w:rPr>
      </w:pPr>
      <w:r>
        <w:rPr>
          <w:rFonts w:eastAsia="Times New Roman"/>
          <w:sz w:val="24"/>
          <w:szCs w:val="24"/>
        </w:rPr>
        <w:t xml:space="preserve">Lagarde, M. (2006). El derecho humano de las mujeres a una vida libre de violencia. En: Maqueira d’Angelo, V. (Coord.). </w:t>
      </w:r>
      <w:r>
        <w:rPr>
          <w:rFonts w:eastAsia="Times New Roman"/>
          <w:i/>
          <w:iCs/>
          <w:sz w:val="24"/>
          <w:szCs w:val="24"/>
        </w:rPr>
        <w:t>Mujeres, globalización y</w:t>
      </w:r>
      <w:r>
        <w:rPr>
          <w:rFonts w:eastAsia="Times New Roman"/>
          <w:sz w:val="24"/>
          <w:szCs w:val="24"/>
        </w:rPr>
        <w:t xml:space="preserve"> </w:t>
      </w:r>
      <w:r>
        <w:rPr>
          <w:rFonts w:eastAsia="Times New Roman"/>
          <w:i/>
          <w:iCs/>
          <w:sz w:val="24"/>
          <w:szCs w:val="24"/>
        </w:rPr>
        <w:t xml:space="preserve">derechos humanos </w:t>
      </w:r>
      <w:r>
        <w:rPr>
          <w:rFonts w:eastAsia="Times New Roman"/>
          <w:sz w:val="24"/>
          <w:szCs w:val="24"/>
        </w:rPr>
        <w:t>(pp.</w:t>
      </w:r>
      <w:r>
        <w:rPr>
          <w:rFonts w:eastAsia="Times New Roman"/>
          <w:sz w:val="24"/>
          <w:szCs w:val="24"/>
        </w:rPr>
        <w:t xml:space="preserve"> 477-534). Madrid, España: Cátedra.</w:t>
      </w:r>
    </w:p>
    <w:p w14:paraId="78AE9BAC" w14:textId="77777777" w:rsidR="00EF26BC" w:rsidRDefault="00EF26BC">
      <w:pPr>
        <w:spacing w:line="127" w:lineRule="exact"/>
        <w:rPr>
          <w:sz w:val="20"/>
          <w:szCs w:val="20"/>
        </w:rPr>
      </w:pPr>
    </w:p>
    <w:p w14:paraId="78AE9BAD" w14:textId="77777777" w:rsidR="00EF26BC" w:rsidRDefault="00343DF1">
      <w:pPr>
        <w:spacing w:line="254" w:lineRule="auto"/>
        <w:ind w:left="1300" w:right="1800" w:hanging="481"/>
        <w:jc w:val="both"/>
        <w:rPr>
          <w:sz w:val="20"/>
          <w:szCs w:val="20"/>
        </w:rPr>
      </w:pPr>
      <w:r>
        <w:rPr>
          <w:rFonts w:eastAsia="Times New Roman"/>
          <w:sz w:val="24"/>
          <w:szCs w:val="24"/>
        </w:rPr>
        <w:t xml:space="preserve">Lagarde, M. (2008). Antropología, feminicidio y política: violencia femicida y derechos humanos de las mujeres. En: Bullen, M.L. y Diez Mintegui, M.C. (Coords.). </w:t>
      </w:r>
      <w:r>
        <w:rPr>
          <w:rFonts w:eastAsia="Times New Roman"/>
          <w:i/>
          <w:iCs/>
          <w:sz w:val="24"/>
          <w:szCs w:val="24"/>
        </w:rPr>
        <w:t>Retos teóricos y nuevas prácticas</w:t>
      </w:r>
      <w:r>
        <w:rPr>
          <w:rFonts w:eastAsia="Times New Roman"/>
          <w:sz w:val="24"/>
          <w:szCs w:val="24"/>
        </w:rPr>
        <w:t xml:space="preserve"> (pp. 209-240). San Seba</w:t>
      </w:r>
      <w:r>
        <w:rPr>
          <w:rFonts w:eastAsia="Times New Roman"/>
          <w:sz w:val="24"/>
          <w:szCs w:val="24"/>
        </w:rPr>
        <w:t>stián, España: Ankulegi.</w:t>
      </w:r>
    </w:p>
    <w:p w14:paraId="78AE9BAE" w14:textId="77777777" w:rsidR="00EF26BC" w:rsidRDefault="00EF26BC">
      <w:pPr>
        <w:spacing w:line="137" w:lineRule="exact"/>
        <w:rPr>
          <w:sz w:val="20"/>
          <w:szCs w:val="20"/>
        </w:rPr>
      </w:pPr>
    </w:p>
    <w:p w14:paraId="78AE9BAF" w14:textId="77777777" w:rsidR="00EF26BC" w:rsidRDefault="00343DF1">
      <w:pPr>
        <w:spacing w:line="261" w:lineRule="auto"/>
        <w:ind w:left="1300" w:right="1800" w:hanging="481"/>
        <w:jc w:val="both"/>
        <w:rPr>
          <w:sz w:val="20"/>
          <w:szCs w:val="20"/>
        </w:rPr>
      </w:pPr>
      <w:r>
        <w:rPr>
          <w:rFonts w:eastAsia="Times New Roman"/>
          <w:sz w:val="24"/>
          <w:szCs w:val="24"/>
        </w:rPr>
        <w:t xml:space="preserve">Lagarde, M. (2014). </w:t>
      </w:r>
      <w:r>
        <w:rPr>
          <w:rFonts w:eastAsia="Times New Roman"/>
          <w:i/>
          <w:iCs/>
          <w:sz w:val="24"/>
          <w:szCs w:val="24"/>
        </w:rPr>
        <w:t>El feminismo de mi vida. Hitos, claves y topías</w:t>
      </w:r>
      <w:r>
        <w:rPr>
          <w:rFonts w:eastAsia="Times New Roman"/>
          <w:sz w:val="24"/>
          <w:szCs w:val="24"/>
        </w:rPr>
        <w:t>. México D.F., México: Gobierno del Distrito Federal e Instituto de las Mujeres del Distrito Federal.</w:t>
      </w:r>
    </w:p>
    <w:p w14:paraId="78AE9BB0" w14:textId="77777777" w:rsidR="00EF26BC" w:rsidRDefault="00EF26BC">
      <w:pPr>
        <w:spacing w:line="127" w:lineRule="exact"/>
        <w:rPr>
          <w:sz w:val="20"/>
          <w:szCs w:val="20"/>
        </w:rPr>
      </w:pPr>
    </w:p>
    <w:p w14:paraId="78AE9BB1" w14:textId="77777777" w:rsidR="00EF26BC" w:rsidRDefault="00343DF1">
      <w:pPr>
        <w:spacing w:line="284" w:lineRule="auto"/>
        <w:ind w:left="1300" w:right="1800" w:hanging="481"/>
        <w:jc w:val="both"/>
        <w:rPr>
          <w:sz w:val="20"/>
          <w:szCs w:val="20"/>
        </w:rPr>
      </w:pPr>
      <w:r>
        <w:rPr>
          <w:rFonts w:eastAsia="Times New Roman"/>
          <w:sz w:val="24"/>
          <w:szCs w:val="24"/>
        </w:rPr>
        <w:t>Ley N°8589 Ley de Penalización de la Violencia contra las Mu</w:t>
      </w:r>
      <w:r>
        <w:rPr>
          <w:rFonts w:eastAsia="Times New Roman"/>
          <w:sz w:val="24"/>
          <w:szCs w:val="24"/>
        </w:rPr>
        <w:t>jeres. Diario Oficial La Gaceta, San José, Costa Rica, 30 de mayo de 2007</w:t>
      </w:r>
    </w:p>
    <w:p w14:paraId="78AE9BB2" w14:textId="77777777" w:rsidR="00EF26BC" w:rsidRDefault="00EF26BC">
      <w:pPr>
        <w:spacing w:line="100" w:lineRule="exact"/>
        <w:rPr>
          <w:sz w:val="20"/>
          <w:szCs w:val="20"/>
        </w:rPr>
      </w:pPr>
    </w:p>
    <w:p w14:paraId="78AE9BB3" w14:textId="77777777" w:rsidR="00EF26BC" w:rsidRDefault="00343DF1">
      <w:pPr>
        <w:spacing w:line="261" w:lineRule="auto"/>
        <w:ind w:left="1300" w:right="1800" w:hanging="481"/>
        <w:jc w:val="both"/>
        <w:rPr>
          <w:sz w:val="20"/>
          <w:szCs w:val="20"/>
        </w:rPr>
      </w:pPr>
      <w:r>
        <w:rPr>
          <w:rFonts w:eastAsia="Times New Roman"/>
          <w:sz w:val="24"/>
          <w:szCs w:val="24"/>
        </w:rPr>
        <w:t xml:space="preserve">López Méndez, I. (2016). Género en las Políticas de Seguridad. La integración de la perspectiva de género en las instituciones policiales de América Latina y el Caribe. </w:t>
      </w:r>
      <w:r>
        <w:rPr>
          <w:rFonts w:eastAsia="Times New Roman"/>
          <w:sz w:val="24"/>
          <w:szCs w:val="24"/>
        </w:rPr>
        <w:t>Madrid, España: Eurosocial.</w:t>
      </w:r>
    </w:p>
    <w:p w14:paraId="78AE9BB4" w14:textId="77777777" w:rsidR="00EF26BC" w:rsidRDefault="00EF26BC">
      <w:pPr>
        <w:spacing w:line="127" w:lineRule="exact"/>
        <w:rPr>
          <w:sz w:val="20"/>
          <w:szCs w:val="20"/>
        </w:rPr>
      </w:pPr>
    </w:p>
    <w:p w14:paraId="78AE9BB5" w14:textId="77777777" w:rsidR="00EF26BC" w:rsidRDefault="00343DF1">
      <w:pPr>
        <w:spacing w:line="247" w:lineRule="auto"/>
        <w:ind w:left="1300" w:right="1800" w:hanging="481"/>
        <w:jc w:val="both"/>
        <w:rPr>
          <w:sz w:val="20"/>
          <w:szCs w:val="20"/>
        </w:rPr>
      </w:pPr>
      <w:r>
        <w:rPr>
          <w:rFonts w:eastAsia="Times New Roman"/>
          <w:sz w:val="24"/>
          <w:szCs w:val="24"/>
        </w:rPr>
        <w:t xml:space="preserve">OACNUDH y ONU MUJERES (2014). </w:t>
      </w:r>
      <w:r>
        <w:rPr>
          <w:rFonts w:eastAsia="Times New Roman"/>
          <w:i/>
          <w:iCs/>
          <w:sz w:val="24"/>
          <w:szCs w:val="24"/>
        </w:rPr>
        <w:t>Modelo de protocolo latinoamericano</w:t>
      </w:r>
      <w:r>
        <w:rPr>
          <w:rFonts w:eastAsia="Times New Roman"/>
          <w:sz w:val="24"/>
          <w:szCs w:val="24"/>
        </w:rPr>
        <w:t xml:space="preserve"> </w:t>
      </w:r>
      <w:r>
        <w:rPr>
          <w:rFonts w:eastAsia="Times New Roman"/>
          <w:i/>
          <w:iCs/>
          <w:sz w:val="24"/>
          <w:szCs w:val="24"/>
        </w:rPr>
        <w:t>de investigación de las muertes violentas de mujeres por razones de género (femicidio/feminicidio)</w:t>
      </w:r>
      <w:r>
        <w:rPr>
          <w:rFonts w:eastAsia="Times New Roman"/>
          <w:sz w:val="24"/>
          <w:szCs w:val="24"/>
        </w:rPr>
        <w:t>. Ciudad de Panamá, Panamá: Oficina Regional para</w:t>
      </w:r>
      <w:r>
        <w:rPr>
          <w:rFonts w:eastAsia="Times New Roman"/>
          <w:i/>
          <w:iCs/>
          <w:sz w:val="24"/>
          <w:szCs w:val="24"/>
        </w:rPr>
        <w:t xml:space="preserve"> </w:t>
      </w:r>
      <w:r>
        <w:rPr>
          <w:rFonts w:eastAsia="Times New Roman"/>
          <w:sz w:val="24"/>
          <w:szCs w:val="24"/>
        </w:rPr>
        <w:t>América Centr</w:t>
      </w:r>
      <w:r>
        <w:rPr>
          <w:rFonts w:eastAsia="Times New Roman"/>
          <w:sz w:val="24"/>
          <w:szCs w:val="24"/>
        </w:rPr>
        <w:t>al del Alto Comisionado de las Naciones Unidas para los Derechos Humanos (OACNUDH) y Oficina Regional para las Américas y el Caribe de la Entidad de las Naciones Unidas para la Igualdad de Género y el Empoderamiento de las Mujeres (ONU Mujeres).</w:t>
      </w:r>
    </w:p>
    <w:p w14:paraId="78AE9BB6" w14:textId="77777777" w:rsidR="00EF26BC" w:rsidRDefault="00EF26BC">
      <w:pPr>
        <w:spacing w:line="143" w:lineRule="exact"/>
        <w:rPr>
          <w:sz w:val="20"/>
          <w:szCs w:val="20"/>
        </w:rPr>
      </w:pPr>
    </w:p>
    <w:p w14:paraId="78AE9BB7" w14:textId="77777777" w:rsidR="00EF26BC" w:rsidRDefault="00343DF1">
      <w:pPr>
        <w:spacing w:line="253" w:lineRule="auto"/>
        <w:ind w:left="1300" w:right="1800" w:hanging="481"/>
        <w:jc w:val="both"/>
        <w:rPr>
          <w:sz w:val="20"/>
          <w:szCs w:val="20"/>
        </w:rPr>
      </w:pPr>
      <w:r>
        <w:rPr>
          <w:rFonts w:eastAsia="Times New Roman"/>
          <w:sz w:val="24"/>
          <w:szCs w:val="24"/>
        </w:rPr>
        <w:t>Observato</w:t>
      </w:r>
      <w:r>
        <w:rPr>
          <w:rFonts w:eastAsia="Times New Roman"/>
          <w:sz w:val="24"/>
          <w:szCs w:val="24"/>
        </w:rPr>
        <w:t xml:space="preserve">rio de Violencia de Género contra las Mujeres y el Acceso a la Justicia (2020). </w:t>
      </w:r>
      <w:r>
        <w:rPr>
          <w:rFonts w:eastAsia="Times New Roman"/>
          <w:i/>
          <w:iCs/>
          <w:sz w:val="24"/>
          <w:szCs w:val="24"/>
        </w:rPr>
        <w:t>Observatorio de Violencia de Género contra las Mujeres y Acceso</w:t>
      </w:r>
      <w:r>
        <w:rPr>
          <w:rFonts w:eastAsia="Times New Roman"/>
          <w:sz w:val="24"/>
          <w:szCs w:val="24"/>
        </w:rPr>
        <w:t xml:space="preserve"> </w:t>
      </w:r>
      <w:r>
        <w:rPr>
          <w:rFonts w:eastAsia="Times New Roman"/>
          <w:i/>
          <w:iCs/>
          <w:sz w:val="24"/>
          <w:szCs w:val="24"/>
        </w:rPr>
        <w:t>a la Justicia</w:t>
      </w:r>
      <w:r>
        <w:rPr>
          <w:rFonts w:eastAsia="Times New Roman"/>
          <w:sz w:val="24"/>
          <w:szCs w:val="24"/>
        </w:rPr>
        <w:t>. San José, Costa Rica: Poder Judicial. Recuperado de:</w:t>
      </w:r>
      <w:r>
        <w:rPr>
          <w:rFonts w:eastAsia="Times New Roman"/>
          <w:i/>
          <w:iCs/>
          <w:sz w:val="24"/>
          <w:szCs w:val="24"/>
        </w:rPr>
        <w:t xml:space="preserve"> </w:t>
      </w:r>
      <w:r>
        <w:rPr>
          <w:rFonts w:eastAsia="Times New Roman"/>
          <w:sz w:val="24"/>
          <w:szCs w:val="24"/>
        </w:rPr>
        <w:t>https://observatoriodegenero.poder-judicial.</w:t>
      </w:r>
      <w:r>
        <w:rPr>
          <w:rFonts w:eastAsia="Times New Roman"/>
          <w:sz w:val="24"/>
          <w:szCs w:val="24"/>
        </w:rPr>
        <w:t>go.cr/</w:t>
      </w:r>
    </w:p>
    <w:p w14:paraId="78AE9BB8" w14:textId="77777777" w:rsidR="00EF26BC" w:rsidRDefault="00EF26BC">
      <w:pPr>
        <w:spacing w:line="142" w:lineRule="exact"/>
        <w:rPr>
          <w:sz w:val="20"/>
          <w:szCs w:val="20"/>
        </w:rPr>
      </w:pPr>
    </w:p>
    <w:p w14:paraId="78AE9BB9" w14:textId="77777777" w:rsidR="00EF26BC" w:rsidRDefault="00343DF1">
      <w:pPr>
        <w:spacing w:line="265" w:lineRule="auto"/>
        <w:ind w:left="1300" w:right="1800" w:hanging="481"/>
        <w:jc w:val="both"/>
        <w:rPr>
          <w:sz w:val="20"/>
          <w:szCs w:val="20"/>
        </w:rPr>
      </w:pPr>
      <w:r>
        <w:rPr>
          <w:rFonts w:eastAsia="Times New Roman"/>
          <w:sz w:val="23"/>
          <w:szCs w:val="23"/>
        </w:rPr>
        <w:t xml:space="preserve">Oficina de Naciones Unidas contra la Droga y el Delito (2014). </w:t>
      </w:r>
      <w:r>
        <w:rPr>
          <w:rFonts w:eastAsia="Times New Roman"/>
          <w:i/>
          <w:iCs/>
          <w:sz w:val="23"/>
          <w:szCs w:val="23"/>
        </w:rPr>
        <w:t>Informe Mundial</w:t>
      </w:r>
      <w:r>
        <w:rPr>
          <w:rFonts w:eastAsia="Times New Roman"/>
          <w:sz w:val="23"/>
          <w:szCs w:val="23"/>
        </w:rPr>
        <w:t xml:space="preserve"> </w:t>
      </w:r>
      <w:r>
        <w:rPr>
          <w:rFonts w:eastAsia="Times New Roman"/>
          <w:i/>
          <w:iCs/>
          <w:sz w:val="23"/>
          <w:szCs w:val="23"/>
        </w:rPr>
        <w:t>sobre las Drogas 2014</w:t>
      </w:r>
      <w:r>
        <w:rPr>
          <w:rFonts w:eastAsia="Times New Roman"/>
          <w:sz w:val="23"/>
          <w:szCs w:val="23"/>
        </w:rPr>
        <w:t>. Viena, Austria: Oficina de Naciones Unidas contra</w:t>
      </w:r>
    </w:p>
    <w:p w14:paraId="78AE9BBA" w14:textId="77777777" w:rsidR="00EF26BC" w:rsidRDefault="00EF26BC">
      <w:pPr>
        <w:spacing w:line="2" w:lineRule="exact"/>
        <w:rPr>
          <w:sz w:val="20"/>
          <w:szCs w:val="20"/>
        </w:rPr>
      </w:pPr>
    </w:p>
    <w:p w14:paraId="78AE9BBB" w14:textId="77777777" w:rsidR="00EF26BC" w:rsidRDefault="00343DF1">
      <w:pPr>
        <w:spacing w:line="250" w:lineRule="auto"/>
        <w:ind w:left="1300" w:right="1800"/>
        <w:rPr>
          <w:sz w:val="20"/>
          <w:szCs w:val="20"/>
        </w:rPr>
      </w:pPr>
      <w:r>
        <w:rPr>
          <w:rFonts w:eastAsia="Times New Roman"/>
          <w:sz w:val="24"/>
          <w:szCs w:val="24"/>
        </w:rPr>
        <w:t xml:space="preserve">la Droga y el Delito. Recuperado de </w:t>
      </w:r>
      <w:r>
        <w:rPr>
          <w:rFonts w:eastAsia="Times New Roman"/>
          <w:sz w:val="24"/>
          <w:szCs w:val="24"/>
        </w:rPr>
        <w:t>https://www.unodc.org/documents/wdr2014/V1403603_spanish.pdf</w:t>
      </w:r>
    </w:p>
    <w:p w14:paraId="78AE9BBC" w14:textId="77777777" w:rsidR="00EF26BC" w:rsidRDefault="00EF26BC">
      <w:pPr>
        <w:spacing w:line="200" w:lineRule="exact"/>
        <w:rPr>
          <w:sz w:val="20"/>
          <w:szCs w:val="20"/>
        </w:rPr>
      </w:pPr>
    </w:p>
    <w:p w14:paraId="78AE9BBD" w14:textId="77777777" w:rsidR="00EF26BC" w:rsidRDefault="00EF26BC">
      <w:pPr>
        <w:spacing w:line="200" w:lineRule="exact"/>
        <w:rPr>
          <w:sz w:val="20"/>
          <w:szCs w:val="20"/>
        </w:rPr>
      </w:pPr>
    </w:p>
    <w:p w14:paraId="78AE9BBE" w14:textId="77777777" w:rsidR="00EF26BC" w:rsidRDefault="00EF26BC">
      <w:pPr>
        <w:spacing w:line="232"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BC2" w14:textId="77777777">
        <w:trPr>
          <w:trHeight w:val="240"/>
        </w:trPr>
        <w:tc>
          <w:tcPr>
            <w:tcW w:w="6920" w:type="dxa"/>
            <w:vAlign w:val="bottom"/>
          </w:tcPr>
          <w:p w14:paraId="78AE9BBF"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C0" w14:textId="77777777" w:rsidR="00EF26BC" w:rsidRDefault="00343DF1">
            <w:pPr>
              <w:jc w:val="right"/>
              <w:rPr>
                <w:sz w:val="20"/>
                <w:szCs w:val="20"/>
              </w:rPr>
            </w:pPr>
            <w:r>
              <w:rPr>
                <w:rFonts w:ascii="Arial" w:eastAsia="Arial" w:hAnsi="Arial" w:cs="Arial"/>
              </w:rPr>
              <w:t>113</w:t>
            </w:r>
          </w:p>
        </w:tc>
        <w:tc>
          <w:tcPr>
            <w:tcW w:w="0" w:type="dxa"/>
            <w:vAlign w:val="bottom"/>
          </w:tcPr>
          <w:p w14:paraId="78AE9BC1" w14:textId="77777777" w:rsidR="00EF26BC" w:rsidRDefault="00EF26BC">
            <w:pPr>
              <w:rPr>
                <w:sz w:val="1"/>
                <w:szCs w:val="1"/>
              </w:rPr>
            </w:pPr>
          </w:p>
        </w:tc>
      </w:tr>
      <w:tr w:rsidR="00EF26BC" w14:paraId="78AE9BC6" w14:textId="77777777">
        <w:trPr>
          <w:trHeight w:val="260"/>
        </w:trPr>
        <w:tc>
          <w:tcPr>
            <w:tcW w:w="6920" w:type="dxa"/>
            <w:vAlign w:val="bottom"/>
          </w:tcPr>
          <w:p w14:paraId="78AE9BC3" w14:textId="77777777" w:rsidR="00EF26BC" w:rsidRDefault="00343DF1">
            <w:pPr>
              <w:ind w:right="109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BC4" w14:textId="77777777" w:rsidR="00EF26BC" w:rsidRDefault="00EF26BC"/>
        </w:tc>
        <w:tc>
          <w:tcPr>
            <w:tcW w:w="0" w:type="dxa"/>
            <w:vAlign w:val="bottom"/>
          </w:tcPr>
          <w:p w14:paraId="78AE9BC5" w14:textId="77777777" w:rsidR="00EF26BC" w:rsidRDefault="00EF26BC">
            <w:pPr>
              <w:rPr>
                <w:sz w:val="1"/>
                <w:szCs w:val="1"/>
              </w:rPr>
            </w:pPr>
          </w:p>
        </w:tc>
      </w:tr>
    </w:tbl>
    <w:p w14:paraId="78AE9BC7" w14:textId="77777777" w:rsidR="00EF26BC" w:rsidRDefault="00EF26BC">
      <w:pPr>
        <w:sectPr w:rsidR="00EF26BC">
          <w:pgSz w:w="12240" w:h="15840"/>
          <w:pgMar w:top="714" w:right="480" w:bottom="121" w:left="1440" w:header="0" w:footer="0" w:gutter="0"/>
          <w:cols w:space="720" w:equalWidth="0">
            <w:col w:w="10320"/>
          </w:cols>
        </w:sectPr>
      </w:pPr>
    </w:p>
    <w:p w14:paraId="78AE9BC8" w14:textId="77777777" w:rsidR="00EF26BC" w:rsidRDefault="00343DF1">
      <w:pPr>
        <w:ind w:left="3700"/>
        <w:rPr>
          <w:sz w:val="20"/>
          <w:szCs w:val="20"/>
        </w:rPr>
      </w:pPr>
      <w:bookmarkStart w:id="25" w:name="page26"/>
      <w:bookmarkEnd w:id="25"/>
      <w:r>
        <w:rPr>
          <w:rFonts w:ascii="Arial" w:eastAsia="Arial" w:hAnsi="Arial" w:cs="Arial"/>
          <w:sz w:val="20"/>
          <w:szCs w:val="20"/>
        </w:rPr>
        <w:lastRenderedPageBreak/>
        <w:t>Marcela Piedra Durán</w:t>
      </w:r>
    </w:p>
    <w:p w14:paraId="78AE9BC9" w14:textId="77777777" w:rsidR="00EF26BC" w:rsidRDefault="00EF26BC">
      <w:pPr>
        <w:spacing w:line="200" w:lineRule="exact"/>
        <w:rPr>
          <w:sz w:val="20"/>
          <w:szCs w:val="20"/>
        </w:rPr>
      </w:pPr>
    </w:p>
    <w:p w14:paraId="78AE9BCA" w14:textId="77777777" w:rsidR="00EF26BC" w:rsidRDefault="00EF26BC">
      <w:pPr>
        <w:spacing w:line="331" w:lineRule="exact"/>
        <w:rPr>
          <w:sz w:val="20"/>
          <w:szCs w:val="20"/>
        </w:rPr>
      </w:pPr>
    </w:p>
    <w:p w14:paraId="78AE9BCB" w14:textId="77777777" w:rsidR="00EF26BC" w:rsidRDefault="00343DF1">
      <w:pPr>
        <w:spacing w:line="254" w:lineRule="auto"/>
        <w:ind w:left="1300" w:right="1820" w:hanging="481"/>
        <w:jc w:val="both"/>
        <w:rPr>
          <w:sz w:val="20"/>
          <w:szCs w:val="20"/>
        </w:rPr>
      </w:pPr>
      <w:r>
        <w:rPr>
          <w:rFonts w:eastAsia="Times New Roman"/>
          <w:sz w:val="24"/>
          <w:szCs w:val="24"/>
        </w:rPr>
        <w:t xml:space="preserve">ONU MUJERES (2015). </w:t>
      </w:r>
      <w:r>
        <w:rPr>
          <w:rFonts w:eastAsia="Times New Roman"/>
          <w:i/>
          <w:iCs/>
          <w:sz w:val="24"/>
          <w:szCs w:val="24"/>
        </w:rPr>
        <w:t>Un marco de apoyo a la prevención de la violencia</w:t>
      </w:r>
      <w:r>
        <w:rPr>
          <w:rFonts w:eastAsia="Times New Roman"/>
          <w:sz w:val="24"/>
          <w:szCs w:val="24"/>
        </w:rPr>
        <w:t xml:space="preserve"> </w:t>
      </w:r>
      <w:r>
        <w:rPr>
          <w:rFonts w:eastAsia="Times New Roman"/>
          <w:i/>
          <w:iCs/>
          <w:sz w:val="24"/>
          <w:szCs w:val="24"/>
        </w:rPr>
        <w:t xml:space="preserve">contra la mujer. </w:t>
      </w:r>
      <w:r>
        <w:rPr>
          <w:rFonts w:eastAsia="Times New Roman"/>
          <w:sz w:val="24"/>
          <w:szCs w:val="24"/>
        </w:rPr>
        <w:t>Nueva York, Estados Unidos: Oficina Regional para las</w:t>
      </w:r>
      <w:r>
        <w:rPr>
          <w:rFonts w:eastAsia="Times New Roman"/>
          <w:i/>
          <w:iCs/>
          <w:sz w:val="24"/>
          <w:szCs w:val="24"/>
        </w:rPr>
        <w:t xml:space="preserve"> </w:t>
      </w:r>
      <w:r>
        <w:rPr>
          <w:rFonts w:eastAsia="Times New Roman"/>
          <w:sz w:val="24"/>
          <w:szCs w:val="24"/>
        </w:rPr>
        <w:t>Américas y el Caribe de la Entidad de las Naciones Unidas para la Igualdad de Género y el Empoderamiento de las Muj</w:t>
      </w:r>
      <w:r>
        <w:rPr>
          <w:rFonts w:eastAsia="Times New Roman"/>
          <w:sz w:val="24"/>
          <w:szCs w:val="24"/>
        </w:rPr>
        <w:t>eres (ONU Mujeres).</w:t>
      </w:r>
    </w:p>
    <w:p w14:paraId="78AE9BCC" w14:textId="77777777" w:rsidR="00EF26BC" w:rsidRDefault="00EF26BC">
      <w:pPr>
        <w:spacing w:line="137" w:lineRule="exact"/>
        <w:rPr>
          <w:sz w:val="20"/>
          <w:szCs w:val="20"/>
        </w:rPr>
      </w:pPr>
    </w:p>
    <w:p w14:paraId="78AE9BCD" w14:textId="77777777" w:rsidR="00EF26BC" w:rsidRDefault="00343DF1">
      <w:pPr>
        <w:spacing w:line="250" w:lineRule="auto"/>
        <w:ind w:left="1300" w:right="1820" w:hanging="481"/>
        <w:jc w:val="both"/>
        <w:rPr>
          <w:sz w:val="20"/>
          <w:szCs w:val="20"/>
        </w:rPr>
      </w:pPr>
      <w:r>
        <w:rPr>
          <w:rFonts w:eastAsia="Times New Roman"/>
          <w:sz w:val="24"/>
          <w:szCs w:val="24"/>
        </w:rPr>
        <w:t xml:space="preserve">Pereira, S. (2012). </w:t>
      </w:r>
      <w:r>
        <w:rPr>
          <w:rFonts w:eastAsia="Times New Roman"/>
          <w:i/>
          <w:iCs/>
          <w:sz w:val="24"/>
          <w:szCs w:val="24"/>
        </w:rPr>
        <w:t>Violencia contra las mujeres en la relación de pareja:</w:t>
      </w:r>
      <w:r>
        <w:rPr>
          <w:rFonts w:eastAsia="Times New Roman"/>
          <w:sz w:val="24"/>
          <w:szCs w:val="24"/>
        </w:rPr>
        <w:t xml:space="preserve"> </w:t>
      </w:r>
      <w:r>
        <w:rPr>
          <w:rFonts w:eastAsia="Times New Roman"/>
          <w:i/>
          <w:iCs/>
          <w:sz w:val="24"/>
          <w:szCs w:val="24"/>
        </w:rPr>
        <w:t xml:space="preserve">Diagnóstico realizado en el Juzgado Contra la Violencia Doméstica de Cartago para un abordaje integral en el Poder Judicial de la violencia intrafamiliar desde </w:t>
      </w:r>
      <w:r>
        <w:rPr>
          <w:rFonts w:eastAsia="Times New Roman"/>
          <w:i/>
          <w:iCs/>
          <w:sz w:val="24"/>
          <w:szCs w:val="24"/>
        </w:rPr>
        <w:t xml:space="preserve">la perspectiva de género </w:t>
      </w:r>
      <w:r>
        <w:rPr>
          <w:rFonts w:eastAsia="Times New Roman"/>
          <w:sz w:val="24"/>
          <w:szCs w:val="24"/>
        </w:rPr>
        <w:t>(Tesis de maestría).</w:t>
      </w:r>
      <w:r>
        <w:rPr>
          <w:rFonts w:eastAsia="Times New Roman"/>
          <w:i/>
          <w:iCs/>
          <w:sz w:val="24"/>
          <w:szCs w:val="24"/>
        </w:rPr>
        <w:t xml:space="preserve"> </w:t>
      </w:r>
      <w:r>
        <w:rPr>
          <w:rFonts w:eastAsia="Times New Roman"/>
          <w:sz w:val="24"/>
          <w:szCs w:val="24"/>
        </w:rPr>
        <w:t>Universidad de Costa Rica, San José, Costa Rica.</w:t>
      </w:r>
    </w:p>
    <w:p w14:paraId="78AE9BCE" w14:textId="77777777" w:rsidR="00EF26BC" w:rsidRDefault="00EF26BC">
      <w:pPr>
        <w:spacing w:line="142" w:lineRule="exact"/>
        <w:rPr>
          <w:sz w:val="20"/>
          <w:szCs w:val="20"/>
        </w:rPr>
      </w:pPr>
    </w:p>
    <w:p w14:paraId="78AE9BCF" w14:textId="77777777" w:rsidR="00EF26BC" w:rsidRDefault="00343DF1">
      <w:pPr>
        <w:spacing w:line="261" w:lineRule="auto"/>
        <w:ind w:left="1300" w:right="1820" w:hanging="481"/>
        <w:jc w:val="both"/>
        <w:rPr>
          <w:sz w:val="20"/>
          <w:szCs w:val="20"/>
        </w:rPr>
      </w:pPr>
      <w:r>
        <w:rPr>
          <w:rFonts w:eastAsia="Times New Roman"/>
          <w:sz w:val="24"/>
          <w:szCs w:val="24"/>
        </w:rPr>
        <w:t xml:space="preserve">Piedra, M. y Esquivel, D. (2012). </w:t>
      </w:r>
      <w:r>
        <w:rPr>
          <w:rFonts w:eastAsia="Times New Roman"/>
          <w:i/>
          <w:iCs/>
          <w:sz w:val="24"/>
          <w:szCs w:val="24"/>
        </w:rPr>
        <w:t>Seguridad Ciudadana para las Mujeres: una</w:t>
      </w:r>
      <w:r>
        <w:rPr>
          <w:rFonts w:eastAsia="Times New Roman"/>
          <w:sz w:val="24"/>
          <w:szCs w:val="24"/>
        </w:rPr>
        <w:t xml:space="preserve"> </w:t>
      </w:r>
      <w:r>
        <w:rPr>
          <w:rFonts w:eastAsia="Times New Roman"/>
          <w:i/>
          <w:iCs/>
          <w:sz w:val="24"/>
          <w:szCs w:val="24"/>
        </w:rPr>
        <w:t>propuesta de política pública con perspectiva de género</w:t>
      </w:r>
      <w:r>
        <w:rPr>
          <w:rFonts w:eastAsia="Times New Roman"/>
          <w:sz w:val="24"/>
          <w:szCs w:val="24"/>
        </w:rPr>
        <w:t>. San José, Costa</w:t>
      </w:r>
      <w:r>
        <w:rPr>
          <w:rFonts w:eastAsia="Times New Roman"/>
          <w:i/>
          <w:iCs/>
          <w:sz w:val="24"/>
          <w:szCs w:val="24"/>
        </w:rPr>
        <w:t xml:space="preserve"> </w:t>
      </w:r>
      <w:r>
        <w:rPr>
          <w:rFonts w:eastAsia="Times New Roman"/>
          <w:sz w:val="24"/>
          <w:szCs w:val="24"/>
        </w:rPr>
        <w:t xml:space="preserve">Rica: </w:t>
      </w:r>
      <w:r>
        <w:rPr>
          <w:rFonts w:eastAsia="Times New Roman"/>
          <w:sz w:val="24"/>
          <w:szCs w:val="24"/>
        </w:rPr>
        <w:t>Fundación Friederich Ebert.</w:t>
      </w:r>
    </w:p>
    <w:p w14:paraId="78AE9BD0" w14:textId="77777777" w:rsidR="00EF26BC" w:rsidRDefault="00EF26BC">
      <w:pPr>
        <w:spacing w:line="127" w:lineRule="exact"/>
        <w:rPr>
          <w:sz w:val="20"/>
          <w:szCs w:val="20"/>
        </w:rPr>
      </w:pPr>
    </w:p>
    <w:p w14:paraId="78AE9BD1" w14:textId="77777777" w:rsidR="00EF26BC" w:rsidRDefault="00343DF1">
      <w:pPr>
        <w:spacing w:line="251" w:lineRule="auto"/>
        <w:ind w:left="1300" w:right="1820" w:hanging="481"/>
        <w:jc w:val="both"/>
        <w:rPr>
          <w:sz w:val="20"/>
          <w:szCs w:val="20"/>
        </w:rPr>
      </w:pPr>
      <w:r>
        <w:rPr>
          <w:rFonts w:eastAsia="Times New Roman"/>
          <w:sz w:val="24"/>
          <w:szCs w:val="24"/>
        </w:rPr>
        <w:t xml:space="preserve">Rainero, L.; Rodigou, M. y Pérez, S. (2006). </w:t>
      </w:r>
      <w:r>
        <w:rPr>
          <w:rFonts w:eastAsia="Times New Roman"/>
          <w:i/>
          <w:iCs/>
          <w:sz w:val="24"/>
          <w:szCs w:val="24"/>
        </w:rPr>
        <w:t>Herramientas para la promoción</w:t>
      </w:r>
      <w:r>
        <w:rPr>
          <w:rFonts w:eastAsia="Times New Roman"/>
          <w:sz w:val="24"/>
          <w:szCs w:val="24"/>
        </w:rPr>
        <w:t xml:space="preserve"> </w:t>
      </w:r>
      <w:r>
        <w:rPr>
          <w:rFonts w:eastAsia="Times New Roman"/>
          <w:i/>
          <w:iCs/>
          <w:sz w:val="24"/>
          <w:szCs w:val="24"/>
        </w:rPr>
        <w:t>de ciudades seguras desde la perspectiva de género</w:t>
      </w:r>
      <w:r>
        <w:rPr>
          <w:rFonts w:eastAsia="Times New Roman"/>
          <w:sz w:val="24"/>
          <w:szCs w:val="24"/>
        </w:rPr>
        <w:t>. Córdoba, Argentina:</w:t>
      </w:r>
      <w:r>
        <w:rPr>
          <w:rFonts w:eastAsia="Times New Roman"/>
          <w:i/>
          <w:iCs/>
          <w:sz w:val="24"/>
          <w:szCs w:val="24"/>
        </w:rPr>
        <w:t xml:space="preserve"> </w:t>
      </w:r>
      <w:r>
        <w:rPr>
          <w:rFonts w:eastAsia="Times New Roman"/>
          <w:sz w:val="24"/>
          <w:szCs w:val="24"/>
        </w:rPr>
        <w:t>Centro de Intercambio y Servicios Cono Sur Argentina (CICSA) y</w:t>
      </w:r>
    </w:p>
    <w:p w14:paraId="78AE9BD2" w14:textId="77777777" w:rsidR="00EF26BC" w:rsidRDefault="00EF26BC">
      <w:pPr>
        <w:spacing w:line="3" w:lineRule="exact"/>
        <w:rPr>
          <w:sz w:val="20"/>
          <w:szCs w:val="20"/>
        </w:rPr>
      </w:pPr>
    </w:p>
    <w:p w14:paraId="78AE9BD3" w14:textId="77777777" w:rsidR="00EF26BC" w:rsidRDefault="00343DF1">
      <w:pPr>
        <w:ind w:left="1300"/>
        <w:rPr>
          <w:sz w:val="20"/>
          <w:szCs w:val="20"/>
        </w:rPr>
      </w:pPr>
      <w:r>
        <w:rPr>
          <w:rFonts w:eastAsia="Times New Roman"/>
          <w:sz w:val="24"/>
          <w:szCs w:val="24"/>
        </w:rPr>
        <w:t>UNIFEM.</w:t>
      </w:r>
    </w:p>
    <w:p w14:paraId="78AE9BD4" w14:textId="77777777" w:rsidR="00EF26BC" w:rsidRDefault="00EF26BC">
      <w:pPr>
        <w:spacing w:line="160" w:lineRule="exact"/>
        <w:rPr>
          <w:sz w:val="20"/>
          <w:szCs w:val="20"/>
        </w:rPr>
      </w:pPr>
    </w:p>
    <w:p w14:paraId="78AE9BD5" w14:textId="77777777" w:rsidR="00EF26BC" w:rsidRDefault="00343DF1">
      <w:pPr>
        <w:spacing w:line="280" w:lineRule="auto"/>
        <w:ind w:left="1300" w:right="1820" w:hanging="481"/>
        <w:jc w:val="both"/>
        <w:rPr>
          <w:sz w:val="20"/>
          <w:szCs w:val="20"/>
        </w:rPr>
      </w:pPr>
      <w:r>
        <w:rPr>
          <w:rFonts w:eastAsia="Times New Roman"/>
          <w:sz w:val="24"/>
          <w:szCs w:val="24"/>
        </w:rPr>
        <w:t>Rubin,</w:t>
      </w:r>
      <w:r>
        <w:rPr>
          <w:rFonts w:eastAsia="Times New Roman"/>
          <w:sz w:val="24"/>
          <w:szCs w:val="24"/>
        </w:rPr>
        <w:t xml:space="preserve"> G. (1986). El tráfico de mujeres: notas sobre la “economía política” del sexo. Nueva Antropología. 3 (30), 95-145.</w:t>
      </w:r>
    </w:p>
    <w:p w14:paraId="78AE9BD6" w14:textId="77777777" w:rsidR="00EF26BC" w:rsidRDefault="00EF26BC">
      <w:pPr>
        <w:spacing w:line="105" w:lineRule="exact"/>
        <w:rPr>
          <w:sz w:val="20"/>
          <w:szCs w:val="20"/>
        </w:rPr>
      </w:pPr>
    </w:p>
    <w:p w14:paraId="78AE9BD7" w14:textId="77777777" w:rsidR="00EF26BC" w:rsidRDefault="00343DF1">
      <w:pPr>
        <w:spacing w:line="254" w:lineRule="auto"/>
        <w:ind w:left="1300" w:right="1820" w:hanging="481"/>
        <w:jc w:val="both"/>
        <w:rPr>
          <w:sz w:val="20"/>
          <w:szCs w:val="20"/>
        </w:rPr>
      </w:pPr>
      <w:r>
        <w:rPr>
          <w:rFonts w:eastAsia="Times New Roman"/>
          <w:sz w:val="24"/>
          <w:szCs w:val="24"/>
        </w:rPr>
        <w:t xml:space="preserve">Russell, D. y Harmes, R. (2006). </w:t>
      </w:r>
      <w:r>
        <w:rPr>
          <w:rFonts w:eastAsia="Times New Roman"/>
          <w:i/>
          <w:iCs/>
          <w:sz w:val="24"/>
          <w:szCs w:val="24"/>
        </w:rPr>
        <w:t>Feminicidio: una perspectiva global</w:t>
      </w:r>
      <w:r>
        <w:rPr>
          <w:rFonts w:eastAsia="Times New Roman"/>
          <w:sz w:val="24"/>
          <w:szCs w:val="24"/>
        </w:rPr>
        <w:t xml:space="preserve"> (Russel, D. y Harmes, R., Eds.) México D.F., México: Centro de Investigaciones Interdisciplinarias en Ciencias y Humanidades, Universidad Nacional Autónoma de México.</w:t>
      </w:r>
    </w:p>
    <w:p w14:paraId="78AE9BD8" w14:textId="77777777" w:rsidR="00EF26BC" w:rsidRDefault="00EF26BC">
      <w:pPr>
        <w:spacing w:line="137" w:lineRule="exact"/>
        <w:rPr>
          <w:sz w:val="20"/>
          <w:szCs w:val="20"/>
        </w:rPr>
      </w:pPr>
    </w:p>
    <w:p w14:paraId="78AE9BD9" w14:textId="77777777" w:rsidR="00EF26BC" w:rsidRDefault="00343DF1">
      <w:pPr>
        <w:spacing w:line="261" w:lineRule="auto"/>
        <w:ind w:left="1300" w:right="1820" w:hanging="481"/>
        <w:jc w:val="both"/>
        <w:rPr>
          <w:sz w:val="20"/>
          <w:szCs w:val="20"/>
        </w:rPr>
      </w:pPr>
      <w:r>
        <w:rPr>
          <w:rFonts w:eastAsia="Times New Roman"/>
          <w:sz w:val="24"/>
          <w:szCs w:val="24"/>
        </w:rPr>
        <w:t xml:space="preserve">Red Mujer y Hábitat en América Latina (2018). </w:t>
      </w:r>
      <w:r>
        <w:rPr>
          <w:rFonts w:eastAsia="Times New Roman"/>
          <w:i/>
          <w:iCs/>
          <w:sz w:val="24"/>
          <w:szCs w:val="24"/>
        </w:rPr>
        <w:t>Construyendo ciudades seguras.</w:t>
      </w:r>
      <w:r>
        <w:rPr>
          <w:rFonts w:eastAsia="Times New Roman"/>
          <w:sz w:val="24"/>
          <w:szCs w:val="24"/>
        </w:rPr>
        <w:t xml:space="preserve"> </w:t>
      </w:r>
      <w:r>
        <w:rPr>
          <w:rFonts w:eastAsia="Times New Roman"/>
          <w:i/>
          <w:iCs/>
          <w:sz w:val="24"/>
          <w:szCs w:val="24"/>
        </w:rPr>
        <w:t>Experienci</w:t>
      </w:r>
      <w:r>
        <w:rPr>
          <w:rFonts w:eastAsia="Times New Roman"/>
          <w:i/>
          <w:iCs/>
          <w:sz w:val="24"/>
          <w:szCs w:val="24"/>
        </w:rPr>
        <w:t xml:space="preserve">as de redes de mujeres en América Latina </w:t>
      </w:r>
      <w:r>
        <w:rPr>
          <w:rFonts w:eastAsia="Times New Roman"/>
          <w:sz w:val="24"/>
          <w:szCs w:val="24"/>
        </w:rPr>
        <w:t>(Red Mujer y Hábitat</w:t>
      </w:r>
      <w:r>
        <w:rPr>
          <w:rFonts w:eastAsia="Times New Roman"/>
          <w:i/>
          <w:iCs/>
          <w:sz w:val="24"/>
          <w:szCs w:val="24"/>
        </w:rPr>
        <w:t xml:space="preserve"> </w:t>
      </w:r>
      <w:r>
        <w:rPr>
          <w:rFonts w:eastAsia="Times New Roman"/>
          <w:sz w:val="24"/>
          <w:szCs w:val="24"/>
        </w:rPr>
        <w:t>en América Latina, Ed.). Santiago, Chile: QP Ediciones.</w:t>
      </w:r>
    </w:p>
    <w:p w14:paraId="78AE9BDA" w14:textId="77777777" w:rsidR="00EF26BC" w:rsidRDefault="00EF26BC">
      <w:pPr>
        <w:spacing w:line="127" w:lineRule="exact"/>
        <w:rPr>
          <w:sz w:val="20"/>
          <w:szCs w:val="20"/>
        </w:rPr>
      </w:pPr>
    </w:p>
    <w:p w14:paraId="78AE9BDB" w14:textId="77777777" w:rsidR="00EF26BC" w:rsidRDefault="00343DF1">
      <w:pPr>
        <w:spacing w:line="254" w:lineRule="auto"/>
        <w:ind w:left="1300" w:right="1820" w:hanging="481"/>
        <w:jc w:val="both"/>
        <w:rPr>
          <w:sz w:val="20"/>
          <w:szCs w:val="20"/>
        </w:rPr>
      </w:pPr>
      <w:r>
        <w:rPr>
          <w:rFonts w:eastAsia="Times New Roman"/>
          <w:sz w:val="24"/>
          <w:szCs w:val="24"/>
        </w:rPr>
        <w:t xml:space="preserve">Sagot, M. (1995a, Marzo). Violencia contra las mujeres: el continium de la muerte [Ponencia]. En: </w:t>
      </w:r>
      <w:r>
        <w:rPr>
          <w:rFonts w:eastAsia="Times New Roman"/>
          <w:i/>
          <w:iCs/>
          <w:sz w:val="24"/>
          <w:szCs w:val="24"/>
        </w:rPr>
        <w:t>En Memoria. Seminario sobre Sensibiliza</w:t>
      </w:r>
      <w:r>
        <w:rPr>
          <w:rFonts w:eastAsia="Times New Roman"/>
          <w:i/>
          <w:iCs/>
          <w:sz w:val="24"/>
          <w:szCs w:val="24"/>
        </w:rPr>
        <w:t>ción de</w:t>
      </w:r>
      <w:r>
        <w:rPr>
          <w:rFonts w:eastAsia="Times New Roman"/>
          <w:sz w:val="24"/>
          <w:szCs w:val="24"/>
        </w:rPr>
        <w:t xml:space="preserve"> </w:t>
      </w:r>
      <w:r>
        <w:rPr>
          <w:rFonts w:eastAsia="Times New Roman"/>
          <w:i/>
          <w:iCs/>
          <w:sz w:val="24"/>
          <w:szCs w:val="24"/>
        </w:rPr>
        <w:t>Género, Leyes y Políticas Relacionadas con las Mujeres</w:t>
      </w:r>
      <w:r>
        <w:rPr>
          <w:rFonts w:eastAsia="Times New Roman"/>
          <w:sz w:val="24"/>
          <w:szCs w:val="24"/>
        </w:rPr>
        <w:t>. San José, Costa</w:t>
      </w:r>
      <w:r>
        <w:rPr>
          <w:rFonts w:eastAsia="Times New Roman"/>
          <w:i/>
          <w:iCs/>
          <w:sz w:val="24"/>
          <w:szCs w:val="24"/>
        </w:rPr>
        <w:t xml:space="preserve"> </w:t>
      </w:r>
      <w:r>
        <w:rPr>
          <w:rFonts w:eastAsia="Times New Roman"/>
          <w:sz w:val="24"/>
          <w:szCs w:val="24"/>
        </w:rPr>
        <w:t>Rica. Instituto de Investigaciones Jurídicas, Universidad de Costa Rica.</w:t>
      </w:r>
    </w:p>
    <w:p w14:paraId="78AE9BDC" w14:textId="77777777" w:rsidR="00EF26BC" w:rsidRDefault="00EF26BC">
      <w:pPr>
        <w:spacing w:line="137" w:lineRule="exact"/>
        <w:rPr>
          <w:sz w:val="20"/>
          <w:szCs w:val="20"/>
        </w:rPr>
      </w:pPr>
    </w:p>
    <w:p w14:paraId="78AE9BDD" w14:textId="77777777" w:rsidR="00EF26BC" w:rsidRDefault="00343DF1">
      <w:pPr>
        <w:spacing w:line="280" w:lineRule="auto"/>
        <w:ind w:left="1300" w:right="1820" w:hanging="481"/>
        <w:jc w:val="both"/>
        <w:rPr>
          <w:sz w:val="20"/>
          <w:szCs w:val="20"/>
        </w:rPr>
      </w:pPr>
      <w:r>
        <w:rPr>
          <w:rFonts w:eastAsia="Times New Roman"/>
          <w:sz w:val="24"/>
          <w:szCs w:val="24"/>
        </w:rPr>
        <w:t>Sagot, M. (1995b). Socialización de género, violencia y femicidio. Reflexiones. 41 (1), 17-26</w:t>
      </w:r>
    </w:p>
    <w:p w14:paraId="78AE9BDE" w14:textId="77777777" w:rsidR="00EF26BC" w:rsidRDefault="00EF26BC">
      <w:pPr>
        <w:spacing w:line="105" w:lineRule="exact"/>
        <w:rPr>
          <w:sz w:val="20"/>
          <w:szCs w:val="20"/>
        </w:rPr>
      </w:pPr>
    </w:p>
    <w:p w14:paraId="78AE9BDF" w14:textId="77777777" w:rsidR="00EF26BC" w:rsidRDefault="00343DF1">
      <w:pPr>
        <w:spacing w:line="284" w:lineRule="auto"/>
        <w:ind w:left="1300" w:right="1820" w:hanging="481"/>
        <w:jc w:val="both"/>
        <w:rPr>
          <w:sz w:val="20"/>
          <w:szCs w:val="20"/>
        </w:rPr>
      </w:pPr>
      <w:r>
        <w:rPr>
          <w:rFonts w:eastAsia="Times New Roman"/>
          <w:sz w:val="24"/>
          <w:szCs w:val="24"/>
        </w:rPr>
        <w:t>Sagot M</w:t>
      </w:r>
      <w:r>
        <w:rPr>
          <w:rFonts w:eastAsia="Times New Roman"/>
          <w:sz w:val="24"/>
          <w:szCs w:val="24"/>
        </w:rPr>
        <w:t xml:space="preserve">. y Carcedo A. (2000). </w:t>
      </w:r>
      <w:r>
        <w:rPr>
          <w:rFonts w:eastAsia="Times New Roman"/>
          <w:i/>
          <w:iCs/>
          <w:sz w:val="24"/>
          <w:szCs w:val="24"/>
        </w:rPr>
        <w:t>Femicidio en Costa Rica 1990-1999</w:t>
      </w:r>
      <w:r>
        <w:rPr>
          <w:rFonts w:eastAsia="Times New Roman"/>
          <w:sz w:val="24"/>
          <w:szCs w:val="24"/>
        </w:rPr>
        <w:t>. San José, Costa Rica: Organización Panamericana de la Salud.</w:t>
      </w:r>
    </w:p>
    <w:p w14:paraId="78AE9BE0" w14:textId="77777777" w:rsidR="00EF26BC" w:rsidRDefault="00EF26BC">
      <w:pPr>
        <w:spacing w:line="100" w:lineRule="exact"/>
        <w:rPr>
          <w:sz w:val="20"/>
          <w:szCs w:val="20"/>
        </w:rPr>
      </w:pPr>
    </w:p>
    <w:p w14:paraId="78AE9BE1" w14:textId="77777777" w:rsidR="00EF26BC" w:rsidRDefault="00343DF1">
      <w:pPr>
        <w:spacing w:line="284" w:lineRule="auto"/>
        <w:ind w:left="1300" w:right="1820" w:hanging="481"/>
        <w:jc w:val="both"/>
        <w:rPr>
          <w:sz w:val="20"/>
          <w:szCs w:val="20"/>
        </w:rPr>
      </w:pPr>
      <w:r>
        <w:rPr>
          <w:rFonts w:eastAsia="Times New Roman"/>
          <w:sz w:val="24"/>
          <w:szCs w:val="24"/>
        </w:rPr>
        <w:t xml:space="preserve">Saltzman, J. (1992). </w:t>
      </w:r>
      <w:r>
        <w:rPr>
          <w:rFonts w:eastAsia="Times New Roman"/>
          <w:i/>
          <w:iCs/>
          <w:sz w:val="24"/>
          <w:szCs w:val="24"/>
        </w:rPr>
        <w:t>Equidad y género</w:t>
      </w:r>
      <w:r>
        <w:rPr>
          <w:rFonts w:eastAsia="Times New Roman"/>
          <w:sz w:val="24"/>
          <w:szCs w:val="24"/>
        </w:rPr>
        <w:t>. Valencia, España: Ediciones Cátedra e Instituto de la Mujer, Universitat de Valencia.</w:t>
      </w:r>
    </w:p>
    <w:p w14:paraId="78AE9BE2" w14:textId="77777777" w:rsidR="00EF26BC" w:rsidRDefault="00EF26BC">
      <w:pPr>
        <w:spacing w:line="100" w:lineRule="exact"/>
        <w:rPr>
          <w:sz w:val="20"/>
          <w:szCs w:val="20"/>
        </w:rPr>
      </w:pPr>
    </w:p>
    <w:p w14:paraId="78AE9BE3" w14:textId="77777777" w:rsidR="00EF26BC" w:rsidRDefault="00343DF1">
      <w:pPr>
        <w:ind w:left="820"/>
        <w:rPr>
          <w:sz w:val="20"/>
          <w:szCs w:val="20"/>
        </w:rPr>
      </w:pPr>
      <w:r w:rsidRPr="00FA315E">
        <w:rPr>
          <w:rFonts w:eastAsia="Times New Roman"/>
          <w:sz w:val="24"/>
          <w:szCs w:val="24"/>
          <w:lang w:val="en-US"/>
        </w:rPr>
        <w:t xml:space="preserve">Seligman, </w:t>
      </w:r>
      <w:r w:rsidRPr="00FA315E">
        <w:rPr>
          <w:rFonts w:eastAsia="Times New Roman"/>
          <w:sz w:val="24"/>
          <w:szCs w:val="24"/>
          <w:lang w:val="en-US"/>
        </w:rPr>
        <w:t xml:space="preserve">M. (1975). </w:t>
      </w:r>
      <w:r w:rsidRPr="00FA315E">
        <w:rPr>
          <w:rFonts w:eastAsia="Times New Roman"/>
          <w:i/>
          <w:iCs/>
          <w:sz w:val="24"/>
          <w:szCs w:val="24"/>
          <w:lang w:val="en-US"/>
        </w:rPr>
        <w:t xml:space="preserve">Helplessness: on depression, </w:t>
      </w:r>
      <w:proofErr w:type="gramStart"/>
      <w:r w:rsidRPr="00FA315E">
        <w:rPr>
          <w:rFonts w:eastAsia="Times New Roman"/>
          <w:i/>
          <w:iCs/>
          <w:sz w:val="24"/>
          <w:szCs w:val="24"/>
          <w:lang w:val="en-US"/>
        </w:rPr>
        <w:t>development</w:t>
      </w:r>
      <w:proofErr w:type="gramEnd"/>
      <w:r w:rsidRPr="00FA315E">
        <w:rPr>
          <w:rFonts w:eastAsia="Times New Roman"/>
          <w:i/>
          <w:iCs/>
          <w:sz w:val="24"/>
          <w:szCs w:val="24"/>
          <w:lang w:val="en-US"/>
        </w:rPr>
        <w:t xml:space="preserve"> and death</w:t>
      </w:r>
      <w:r w:rsidRPr="00FA315E">
        <w:rPr>
          <w:rFonts w:eastAsia="Times New Roman"/>
          <w:sz w:val="24"/>
          <w:szCs w:val="24"/>
          <w:lang w:val="en-US"/>
        </w:rPr>
        <w:t xml:space="preserve">. </w:t>
      </w:r>
      <w:r>
        <w:rPr>
          <w:rFonts w:eastAsia="Times New Roman"/>
          <w:sz w:val="24"/>
          <w:szCs w:val="24"/>
        </w:rPr>
        <w:t>San</w:t>
      </w:r>
    </w:p>
    <w:p w14:paraId="78AE9BE4" w14:textId="77777777" w:rsidR="00EF26BC" w:rsidRDefault="00EF26BC">
      <w:pPr>
        <w:spacing w:line="36" w:lineRule="exact"/>
        <w:rPr>
          <w:sz w:val="20"/>
          <w:szCs w:val="20"/>
        </w:rPr>
      </w:pPr>
    </w:p>
    <w:p w14:paraId="78AE9BE5" w14:textId="77777777" w:rsidR="00EF26BC" w:rsidRDefault="00343DF1">
      <w:pPr>
        <w:ind w:left="1300"/>
        <w:rPr>
          <w:sz w:val="20"/>
          <w:szCs w:val="20"/>
        </w:rPr>
      </w:pPr>
      <w:r>
        <w:rPr>
          <w:rFonts w:eastAsia="Times New Roman"/>
          <w:sz w:val="24"/>
          <w:szCs w:val="24"/>
        </w:rPr>
        <w:t>Francisco, Estados Unidos: Freeman.</w:t>
      </w:r>
    </w:p>
    <w:p w14:paraId="78AE9BE6" w14:textId="77777777" w:rsidR="00EF26BC" w:rsidRDefault="00EF26BC">
      <w:pPr>
        <w:spacing w:line="200" w:lineRule="exact"/>
        <w:rPr>
          <w:sz w:val="20"/>
          <w:szCs w:val="20"/>
        </w:rPr>
      </w:pPr>
    </w:p>
    <w:p w14:paraId="78AE9BE7" w14:textId="77777777" w:rsidR="00EF26BC" w:rsidRDefault="00EF26BC">
      <w:pPr>
        <w:spacing w:line="200" w:lineRule="exact"/>
        <w:rPr>
          <w:sz w:val="20"/>
          <w:szCs w:val="20"/>
        </w:rPr>
      </w:pPr>
    </w:p>
    <w:p w14:paraId="78AE9BE8" w14:textId="77777777" w:rsidR="00EF26BC" w:rsidRDefault="00EF26BC">
      <w:pPr>
        <w:spacing w:line="329"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40"/>
        <w:gridCol w:w="1580"/>
        <w:gridCol w:w="20"/>
      </w:tblGrid>
      <w:tr w:rsidR="00EF26BC" w14:paraId="78AE9BEC" w14:textId="77777777">
        <w:trPr>
          <w:trHeight w:val="240"/>
        </w:trPr>
        <w:tc>
          <w:tcPr>
            <w:tcW w:w="6940" w:type="dxa"/>
            <w:vAlign w:val="bottom"/>
          </w:tcPr>
          <w:p w14:paraId="78AE9BE9" w14:textId="77777777" w:rsidR="00EF26BC" w:rsidRDefault="00343DF1">
            <w:pPr>
              <w:ind w:right="111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BEA" w14:textId="77777777" w:rsidR="00EF26BC" w:rsidRDefault="00343DF1">
            <w:pPr>
              <w:jc w:val="right"/>
              <w:rPr>
                <w:sz w:val="20"/>
                <w:szCs w:val="20"/>
              </w:rPr>
            </w:pPr>
            <w:r>
              <w:rPr>
                <w:rFonts w:ascii="Arial" w:eastAsia="Arial" w:hAnsi="Arial" w:cs="Arial"/>
              </w:rPr>
              <w:t>114</w:t>
            </w:r>
          </w:p>
        </w:tc>
        <w:tc>
          <w:tcPr>
            <w:tcW w:w="0" w:type="dxa"/>
            <w:vAlign w:val="bottom"/>
          </w:tcPr>
          <w:p w14:paraId="78AE9BEB" w14:textId="77777777" w:rsidR="00EF26BC" w:rsidRDefault="00EF26BC">
            <w:pPr>
              <w:rPr>
                <w:sz w:val="1"/>
                <w:szCs w:val="1"/>
              </w:rPr>
            </w:pPr>
          </w:p>
        </w:tc>
      </w:tr>
      <w:tr w:rsidR="00EF26BC" w14:paraId="78AE9BF0" w14:textId="77777777">
        <w:trPr>
          <w:trHeight w:val="270"/>
        </w:trPr>
        <w:tc>
          <w:tcPr>
            <w:tcW w:w="6940" w:type="dxa"/>
            <w:vAlign w:val="bottom"/>
          </w:tcPr>
          <w:p w14:paraId="78AE9BED" w14:textId="77777777" w:rsidR="00EF26BC" w:rsidRDefault="00343DF1">
            <w:pPr>
              <w:ind w:right="1119"/>
              <w:jc w:val="center"/>
              <w:rPr>
                <w:sz w:val="20"/>
                <w:szCs w:val="20"/>
              </w:rPr>
            </w:pPr>
            <w:r>
              <w:rPr>
                <w:rFonts w:ascii="Arial" w:eastAsia="Arial" w:hAnsi="Arial" w:cs="Arial"/>
                <w:sz w:val="20"/>
                <w:szCs w:val="20"/>
              </w:rPr>
              <w:t>Universidad de Costa Rica, 10: 89-115, 2019 ISSN: 2215-2873</w:t>
            </w:r>
          </w:p>
        </w:tc>
        <w:tc>
          <w:tcPr>
            <w:tcW w:w="1580" w:type="dxa"/>
            <w:vMerge/>
            <w:vAlign w:val="bottom"/>
          </w:tcPr>
          <w:p w14:paraId="78AE9BEE" w14:textId="77777777" w:rsidR="00EF26BC" w:rsidRDefault="00EF26BC">
            <w:pPr>
              <w:rPr>
                <w:sz w:val="23"/>
                <w:szCs w:val="23"/>
              </w:rPr>
            </w:pPr>
          </w:p>
        </w:tc>
        <w:tc>
          <w:tcPr>
            <w:tcW w:w="0" w:type="dxa"/>
            <w:vAlign w:val="bottom"/>
          </w:tcPr>
          <w:p w14:paraId="78AE9BEF" w14:textId="77777777" w:rsidR="00EF26BC" w:rsidRDefault="00EF26BC">
            <w:pPr>
              <w:rPr>
                <w:sz w:val="1"/>
                <w:szCs w:val="1"/>
              </w:rPr>
            </w:pPr>
          </w:p>
        </w:tc>
      </w:tr>
    </w:tbl>
    <w:p w14:paraId="78AE9BF1" w14:textId="77777777" w:rsidR="00EF26BC" w:rsidRDefault="00EF26BC">
      <w:pPr>
        <w:sectPr w:rsidR="00EF26BC">
          <w:pgSz w:w="12240" w:h="15840"/>
          <w:pgMar w:top="714" w:right="460" w:bottom="112" w:left="1440" w:header="0" w:footer="0" w:gutter="0"/>
          <w:cols w:space="720" w:equalWidth="0">
            <w:col w:w="10340"/>
          </w:cols>
        </w:sectPr>
      </w:pPr>
    </w:p>
    <w:p w14:paraId="78AE9BF2" w14:textId="77777777" w:rsidR="00EF26BC" w:rsidRDefault="00343DF1">
      <w:pPr>
        <w:ind w:left="2960"/>
        <w:rPr>
          <w:sz w:val="20"/>
          <w:szCs w:val="20"/>
        </w:rPr>
      </w:pPr>
      <w:bookmarkStart w:id="26" w:name="page27"/>
      <w:bookmarkEnd w:id="26"/>
      <w:r>
        <w:rPr>
          <w:rFonts w:ascii="Arial" w:eastAsia="Arial" w:hAnsi="Arial" w:cs="Arial"/>
          <w:sz w:val="20"/>
          <w:szCs w:val="20"/>
        </w:rPr>
        <w:lastRenderedPageBreak/>
        <w:t>Violencia contra las mujeres y femicidio</w:t>
      </w:r>
    </w:p>
    <w:p w14:paraId="78AE9BF3" w14:textId="77777777" w:rsidR="00EF26BC" w:rsidRDefault="00EF26BC">
      <w:pPr>
        <w:spacing w:line="200" w:lineRule="exact"/>
        <w:rPr>
          <w:sz w:val="20"/>
          <w:szCs w:val="20"/>
        </w:rPr>
      </w:pPr>
    </w:p>
    <w:p w14:paraId="78AE9BF4" w14:textId="77777777" w:rsidR="00EF26BC" w:rsidRDefault="00EF26BC">
      <w:pPr>
        <w:spacing w:line="331" w:lineRule="exact"/>
        <w:rPr>
          <w:sz w:val="20"/>
          <w:szCs w:val="20"/>
        </w:rPr>
      </w:pPr>
    </w:p>
    <w:p w14:paraId="78AE9BF5" w14:textId="77777777" w:rsidR="00EF26BC" w:rsidRDefault="00343DF1">
      <w:pPr>
        <w:spacing w:line="307" w:lineRule="auto"/>
        <w:ind w:left="1300" w:right="1800" w:hanging="481"/>
        <w:jc w:val="both"/>
        <w:rPr>
          <w:sz w:val="20"/>
          <w:szCs w:val="20"/>
        </w:rPr>
      </w:pPr>
      <w:r>
        <w:rPr>
          <w:rFonts w:eastAsia="Times New Roman"/>
          <w:sz w:val="23"/>
          <w:szCs w:val="23"/>
        </w:rPr>
        <w:t xml:space="preserve">Solyszko, I. (2013). Femicidio y feminicidio: avances para nombrar la expresión letal de la violencia de género contra las mujeres. </w:t>
      </w:r>
      <w:r>
        <w:rPr>
          <w:rFonts w:eastAsia="Times New Roman"/>
          <w:i/>
          <w:iCs/>
          <w:sz w:val="23"/>
          <w:szCs w:val="23"/>
        </w:rPr>
        <w:t>Géneros</w:t>
      </w:r>
      <w:r>
        <w:rPr>
          <w:rFonts w:eastAsia="Times New Roman"/>
          <w:sz w:val="23"/>
          <w:szCs w:val="23"/>
        </w:rPr>
        <w:t>. 20 (13), 23-41.</w:t>
      </w:r>
    </w:p>
    <w:p w14:paraId="78AE9BF6" w14:textId="77777777" w:rsidR="00EF26BC" w:rsidRDefault="00EF26BC">
      <w:pPr>
        <w:spacing w:line="77" w:lineRule="exact"/>
        <w:rPr>
          <w:sz w:val="20"/>
          <w:szCs w:val="20"/>
        </w:rPr>
      </w:pPr>
    </w:p>
    <w:p w14:paraId="78AE9BF7" w14:textId="77777777" w:rsidR="00EF26BC" w:rsidRDefault="00343DF1">
      <w:pPr>
        <w:spacing w:line="280" w:lineRule="auto"/>
        <w:ind w:left="1300" w:right="1800" w:hanging="481"/>
        <w:jc w:val="both"/>
        <w:rPr>
          <w:sz w:val="20"/>
          <w:szCs w:val="20"/>
        </w:rPr>
      </w:pPr>
      <w:r>
        <w:rPr>
          <w:rFonts w:eastAsia="Times New Roman"/>
          <w:sz w:val="24"/>
          <w:szCs w:val="24"/>
        </w:rPr>
        <w:t xml:space="preserve">Toledo, P. (2009). </w:t>
      </w:r>
      <w:r>
        <w:rPr>
          <w:rFonts w:eastAsia="Times New Roman"/>
          <w:i/>
          <w:iCs/>
          <w:sz w:val="24"/>
          <w:szCs w:val="24"/>
        </w:rPr>
        <w:t>Feminicidio</w:t>
      </w:r>
      <w:r>
        <w:rPr>
          <w:rFonts w:eastAsia="Times New Roman"/>
          <w:sz w:val="24"/>
          <w:szCs w:val="24"/>
        </w:rPr>
        <w:t>. México D.F., México: Of</w:t>
      </w:r>
      <w:r>
        <w:rPr>
          <w:rFonts w:eastAsia="Times New Roman"/>
          <w:sz w:val="24"/>
          <w:szCs w:val="24"/>
        </w:rPr>
        <w:t>icina en México del Alto Comisionado de las Naciones Unidas para los Derechos Humanos.</w:t>
      </w:r>
    </w:p>
    <w:p w14:paraId="78AE9BF8" w14:textId="77777777" w:rsidR="00EF26BC" w:rsidRDefault="00EF26BC">
      <w:pPr>
        <w:spacing w:line="105" w:lineRule="exact"/>
        <w:rPr>
          <w:sz w:val="20"/>
          <w:szCs w:val="20"/>
        </w:rPr>
      </w:pPr>
    </w:p>
    <w:p w14:paraId="78AE9BF9" w14:textId="77777777" w:rsidR="00EF26BC" w:rsidRDefault="00343DF1">
      <w:pPr>
        <w:spacing w:line="261" w:lineRule="auto"/>
        <w:ind w:left="1300" w:right="1800" w:hanging="481"/>
        <w:jc w:val="both"/>
        <w:rPr>
          <w:sz w:val="20"/>
          <w:szCs w:val="20"/>
        </w:rPr>
      </w:pPr>
      <w:r w:rsidRPr="00FA315E">
        <w:rPr>
          <w:rFonts w:eastAsia="Times New Roman"/>
          <w:sz w:val="24"/>
          <w:szCs w:val="24"/>
          <w:lang w:val="en-US"/>
        </w:rPr>
        <w:t xml:space="preserve">UNODOC (2019). </w:t>
      </w:r>
      <w:r w:rsidRPr="00FA315E">
        <w:rPr>
          <w:rFonts w:eastAsia="Times New Roman"/>
          <w:i/>
          <w:iCs/>
          <w:sz w:val="24"/>
          <w:szCs w:val="24"/>
          <w:lang w:val="en-US"/>
        </w:rPr>
        <w:t>Global Study on Homicide: gender-related killing of women</w:t>
      </w:r>
      <w:r w:rsidRPr="00FA315E">
        <w:rPr>
          <w:rFonts w:eastAsia="Times New Roman"/>
          <w:sz w:val="24"/>
          <w:szCs w:val="24"/>
          <w:lang w:val="en-US"/>
        </w:rPr>
        <w:t xml:space="preserve"> </w:t>
      </w:r>
      <w:r w:rsidRPr="00FA315E">
        <w:rPr>
          <w:rFonts w:eastAsia="Times New Roman"/>
          <w:i/>
          <w:iCs/>
          <w:sz w:val="24"/>
          <w:szCs w:val="24"/>
          <w:lang w:val="en-US"/>
        </w:rPr>
        <w:t>and girls</w:t>
      </w:r>
      <w:r w:rsidRPr="00FA315E">
        <w:rPr>
          <w:rFonts w:eastAsia="Times New Roman"/>
          <w:sz w:val="24"/>
          <w:szCs w:val="24"/>
          <w:lang w:val="en-US"/>
        </w:rPr>
        <w:t xml:space="preserve">. </w:t>
      </w:r>
      <w:r>
        <w:rPr>
          <w:rFonts w:eastAsia="Times New Roman"/>
          <w:sz w:val="24"/>
          <w:szCs w:val="24"/>
        </w:rPr>
        <w:t>Viena, Austria: Oficina de Naciones Unidas sobre Drogas y</w:t>
      </w:r>
      <w:r>
        <w:rPr>
          <w:rFonts w:eastAsia="Times New Roman"/>
          <w:i/>
          <w:iCs/>
          <w:sz w:val="24"/>
          <w:szCs w:val="24"/>
        </w:rPr>
        <w:t xml:space="preserve"> </w:t>
      </w:r>
      <w:r>
        <w:rPr>
          <w:rFonts w:eastAsia="Times New Roman"/>
          <w:sz w:val="24"/>
          <w:szCs w:val="24"/>
        </w:rPr>
        <w:t>Crimen.</w:t>
      </w:r>
    </w:p>
    <w:p w14:paraId="78AE9BFA" w14:textId="77777777" w:rsidR="00EF26BC" w:rsidRDefault="00EF26BC">
      <w:pPr>
        <w:spacing w:line="132" w:lineRule="exact"/>
        <w:rPr>
          <w:sz w:val="20"/>
          <w:szCs w:val="20"/>
        </w:rPr>
      </w:pPr>
    </w:p>
    <w:p w14:paraId="78AE9BFB" w14:textId="77777777" w:rsidR="00EF26BC" w:rsidRDefault="00343DF1">
      <w:pPr>
        <w:spacing w:line="261" w:lineRule="auto"/>
        <w:ind w:left="1300" w:right="1800" w:hanging="481"/>
        <w:jc w:val="both"/>
        <w:rPr>
          <w:sz w:val="20"/>
          <w:szCs w:val="20"/>
        </w:rPr>
      </w:pPr>
      <w:r>
        <w:rPr>
          <w:rFonts w:eastAsia="Times New Roman"/>
          <w:sz w:val="24"/>
          <w:szCs w:val="24"/>
        </w:rPr>
        <w:t xml:space="preserve">Valenzuela, J.M. </w:t>
      </w:r>
      <w:r>
        <w:rPr>
          <w:rFonts w:eastAsia="Times New Roman"/>
          <w:sz w:val="24"/>
          <w:szCs w:val="24"/>
        </w:rPr>
        <w:t xml:space="preserve">(2012). </w:t>
      </w:r>
      <w:r>
        <w:rPr>
          <w:rFonts w:eastAsia="Times New Roman"/>
          <w:i/>
          <w:iCs/>
          <w:sz w:val="24"/>
          <w:szCs w:val="24"/>
        </w:rPr>
        <w:t>Sed de mal. Feminicidio, jóvenes y exclusión social</w:t>
      </w:r>
      <w:r>
        <w:rPr>
          <w:rFonts w:eastAsia="Times New Roman"/>
          <w:sz w:val="24"/>
          <w:szCs w:val="24"/>
        </w:rPr>
        <w:t>. Nuevo León, México: Colegio de la Frontera Norte y Universidad Autónoma de Nuevo León.</w:t>
      </w:r>
    </w:p>
    <w:p w14:paraId="78AE9BFC" w14:textId="77777777" w:rsidR="00EF26BC" w:rsidRDefault="00EF26BC">
      <w:pPr>
        <w:spacing w:line="127" w:lineRule="exact"/>
        <w:rPr>
          <w:sz w:val="20"/>
          <w:szCs w:val="20"/>
        </w:rPr>
      </w:pPr>
    </w:p>
    <w:p w14:paraId="78AE9BFD" w14:textId="77777777" w:rsidR="00EF26BC" w:rsidRDefault="00343DF1">
      <w:pPr>
        <w:spacing w:line="261" w:lineRule="auto"/>
        <w:ind w:left="1300" w:right="1800" w:hanging="481"/>
        <w:jc w:val="both"/>
        <w:rPr>
          <w:sz w:val="20"/>
          <w:szCs w:val="20"/>
        </w:rPr>
      </w:pPr>
      <w:r>
        <w:rPr>
          <w:rFonts w:eastAsia="Times New Roman"/>
          <w:sz w:val="24"/>
          <w:szCs w:val="24"/>
        </w:rPr>
        <w:t xml:space="preserve">Vargas, V. (2007). </w:t>
      </w:r>
      <w:r>
        <w:rPr>
          <w:rFonts w:eastAsia="Times New Roman"/>
          <w:i/>
          <w:iCs/>
          <w:sz w:val="24"/>
          <w:szCs w:val="24"/>
        </w:rPr>
        <w:t>Programa Regional: Ciudades sin Violencia hacia las</w:t>
      </w:r>
      <w:r>
        <w:rPr>
          <w:rFonts w:eastAsia="Times New Roman"/>
          <w:sz w:val="24"/>
          <w:szCs w:val="24"/>
        </w:rPr>
        <w:t xml:space="preserve"> </w:t>
      </w:r>
      <w:r>
        <w:rPr>
          <w:rFonts w:eastAsia="Times New Roman"/>
          <w:i/>
          <w:iCs/>
          <w:sz w:val="24"/>
          <w:szCs w:val="24"/>
        </w:rPr>
        <w:t xml:space="preserve">Mujeres Ciudades Seguras para Todas </w:t>
      </w:r>
      <w:r>
        <w:rPr>
          <w:rFonts w:eastAsia="Times New Roman"/>
          <w:i/>
          <w:iCs/>
          <w:sz w:val="24"/>
          <w:szCs w:val="24"/>
        </w:rPr>
        <w:t>y Todos</w:t>
      </w:r>
      <w:r>
        <w:rPr>
          <w:rFonts w:eastAsia="Times New Roman"/>
          <w:sz w:val="24"/>
          <w:szCs w:val="24"/>
        </w:rPr>
        <w:t>. Córdoba, Argentina: Red</w:t>
      </w:r>
      <w:r>
        <w:rPr>
          <w:rFonts w:eastAsia="Times New Roman"/>
          <w:i/>
          <w:iCs/>
          <w:sz w:val="24"/>
          <w:szCs w:val="24"/>
        </w:rPr>
        <w:t xml:space="preserve"> </w:t>
      </w:r>
      <w:r>
        <w:rPr>
          <w:rFonts w:eastAsia="Times New Roman"/>
          <w:sz w:val="24"/>
          <w:szCs w:val="24"/>
        </w:rPr>
        <w:t>Mujer y Hábitat en América Latina y el Caribe y UNIFEM.</w:t>
      </w:r>
    </w:p>
    <w:p w14:paraId="78AE9BFE" w14:textId="77777777" w:rsidR="00EF26BC" w:rsidRDefault="00EF26BC">
      <w:pPr>
        <w:spacing w:line="127" w:lineRule="exact"/>
        <w:rPr>
          <w:sz w:val="20"/>
          <w:szCs w:val="20"/>
        </w:rPr>
      </w:pPr>
    </w:p>
    <w:p w14:paraId="78AE9BFF" w14:textId="77777777" w:rsidR="00EF26BC" w:rsidRDefault="00343DF1">
      <w:pPr>
        <w:spacing w:line="280" w:lineRule="auto"/>
        <w:ind w:left="1300" w:right="1800" w:hanging="481"/>
        <w:jc w:val="both"/>
        <w:rPr>
          <w:sz w:val="20"/>
          <w:szCs w:val="20"/>
        </w:rPr>
      </w:pPr>
      <w:r w:rsidRPr="00FA315E">
        <w:rPr>
          <w:rFonts w:eastAsia="Times New Roman"/>
          <w:sz w:val="24"/>
          <w:szCs w:val="24"/>
          <w:lang w:val="en-US"/>
        </w:rPr>
        <w:t xml:space="preserve">Walker, L. (1989). Terrifying love. Why battered women kill and how society responds. </w:t>
      </w:r>
      <w:r>
        <w:rPr>
          <w:rFonts w:eastAsia="Times New Roman"/>
          <w:sz w:val="24"/>
          <w:szCs w:val="24"/>
        </w:rPr>
        <w:t>Nueva York, Estados Unidos: Harper Perennial.</w:t>
      </w:r>
    </w:p>
    <w:p w14:paraId="78AE9C00" w14:textId="77777777" w:rsidR="00EF26BC" w:rsidRDefault="00EF26BC">
      <w:pPr>
        <w:spacing w:line="110" w:lineRule="exact"/>
        <w:rPr>
          <w:sz w:val="20"/>
          <w:szCs w:val="20"/>
        </w:rPr>
      </w:pPr>
    </w:p>
    <w:p w14:paraId="78AE9C01" w14:textId="77777777" w:rsidR="00EF26BC" w:rsidRDefault="00343DF1">
      <w:pPr>
        <w:ind w:left="820"/>
        <w:rPr>
          <w:sz w:val="20"/>
          <w:szCs w:val="20"/>
        </w:rPr>
      </w:pPr>
      <w:r>
        <w:rPr>
          <w:rFonts w:eastAsia="Times New Roman"/>
          <w:sz w:val="24"/>
          <w:szCs w:val="24"/>
        </w:rPr>
        <w:t xml:space="preserve">Wu, S. (2012). </w:t>
      </w:r>
      <w:r>
        <w:rPr>
          <w:rFonts w:eastAsia="Times New Roman"/>
          <w:sz w:val="24"/>
          <w:szCs w:val="24"/>
        </w:rPr>
        <w:t>Femicidio, un indicador de violencia social hacia la mujer.</w:t>
      </w:r>
    </w:p>
    <w:p w14:paraId="78AE9C02" w14:textId="77777777" w:rsidR="00EF26BC" w:rsidRDefault="00EF26BC">
      <w:pPr>
        <w:spacing w:line="36" w:lineRule="exact"/>
        <w:rPr>
          <w:sz w:val="20"/>
          <w:szCs w:val="20"/>
        </w:rPr>
      </w:pPr>
    </w:p>
    <w:p w14:paraId="78AE9C03" w14:textId="77777777" w:rsidR="00EF26BC" w:rsidRDefault="00343DF1">
      <w:pPr>
        <w:ind w:left="1300"/>
        <w:rPr>
          <w:sz w:val="20"/>
          <w:szCs w:val="20"/>
        </w:rPr>
      </w:pPr>
      <w:r>
        <w:rPr>
          <w:rFonts w:eastAsia="Times New Roman"/>
          <w:sz w:val="24"/>
          <w:szCs w:val="24"/>
        </w:rPr>
        <w:t>Medicina Legal de Costa Rica. 29 (1), 79-82.</w:t>
      </w:r>
    </w:p>
    <w:p w14:paraId="78AE9C04" w14:textId="77777777" w:rsidR="00EF26BC" w:rsidRDefault="00EF26BC">
      <w:pPr>
        <w:spacing w:line="200" w:lineRule="exact"/>
        <w:rPr>
          <w:sz w:val="20"/>
          <w:szCs w:val="20"/>
        </w:rPr>
      </w:pPr>
    </w:p>
    <w:p w14:paraId="78AE9C05" w14:textId="77777777" w:rsidR="00EF26BC" w:rsidRDefault="00EF26BC">
      <w:pPr>
        <w:spacing w:line="200" w:lineRule="exact"/>
        <w:rPr>
          <w:sz w:val="20"/>
          <w:szCs w:val="20"/>
        </w:rPr>
      </w:pPr>
    </w:p>
    <w:p w14:paraId="78AE9C06" w14:textId="77777777" w:rsidR="00EF26BC" w:rsidRDefault="00EF26BC">
      <w:pPr>
        <w:spacing w:line="200" w:lineRule="exact"/>
        <w:rPr>
          <w:sz w:val="20"/>
          <w:szCs w:val="20"/>
        </w:rPr>
      </w:pPr>
    </w:p>
    <w:p w14:paraId="78AE9C07" w14:textId="77777777" w:rsidR="00EF26BC" w:rsidRDefault="00EF26BC">
      <w:pPr>
        <w:spacing w:line="200" w:lineRule="exact"/>
        <w:rPr>
          <w:sz w:val="20"/>
          <w:szCs w:val="20"/>
        </w:rPr>
      </w:pPr>
    </w:p>
    <w:p w14:paraId="78AE9C08" w14:textId="77777777" w:rsidR="00EF26BC" w:rsidRDefault="00EF26BC">
      <w:pPr>
        <w:spacing w:line="200" w:lineRule="exact"/>
        <w:rPr>
          <w:sz w:val="20"/>
          <w:szCs w:val="20"/>
        </w:rPr>
      </w:pPr>
    </w:p>
    <w:p w14:paraId="78AE9C09" w14:textId="77777777" w:rsidR="00EF26BC" w:rsidRDefault="00EF26BC">
      <w:pPr>
        <w:spacing w:line="200" w:lineRule="exact"/>
        <w:rPr>
          <w:sz w:val="20"/>
          <w:szCs w:val="20"/>
        </w:rPr>
      </w:pPr>
    </w:p>
    <w:p w14:paraId="78AE9C0A" w14:textId="77777777" w:rsidR="00EF26BC" w:rsidRDefault="00EF26BC">
      <w:pPr>
        <w:spacing w:line="200" w:lineRule="exact"/>
        <w:rPr>
          <w:sz w:val="20"/>
          <w:szCs w:val="20"/>
        </w:rPr>
      </w:pPr>
    </w:p>
    <w:p w14:paraId="78AE9C0B" w14:textId="77777777" w:rsidR="00EF26BC" w:rsidRDefault="00EF26BC">
      <w:pPr>
        <w:spacing w:line="200" w:lineRule="exact"/>
        <w:rPr>
          <w:sz w:val="20"/>
          <w:szCs w:val="20"/>
        </w:rPr>
      </w:pPr>
    </w:p>
    <w:p w14:paraId="78AE9C0C" w14:textId="77777777" w:rsidR="00EF26BC" w:rsidRDefault="00EF26BC">
      <w:pPr>
        <w:spacing w:line="200" w:lineRule="exact"/>
        <w:rPr>
          <w:sz w:val="20"/>
          <w:szCs w:val="20"/>
        </w:rPr>
      </w:pPr>
    </w:p>
    <w:p w14:paraId="78AE9C0D" w14:textId="77777777" w:rsidR="00EF26BC" w:rsidRDefault="00EF26BC">
      <w:pPr>
        <w:spacing w:line="200" w:lineRule="exact"/>
        <w:rPr>
          <w:sz w:val="20"/>
          <w:szCs w:val="20"/>
        </w:rPr>
      </w:pPr>
    </w:p>
    <w:p w14:paraId="78AE9C0E" w14:textId="77777777" w:rsidR="00EF26BC" w:rsidRDefault="00EF26BC">
      <w:pPr>
        <w:spacing w:line="200" w:lineRule="exact"/>
        <w:rPr>
          <w:sz w:val="20"/>
          <w:szCs w:val="20"/>
        </w:rPr>
      </w:pPr>
    </w:p>
    <w:p w14:paraId="78AE9C0F" w14:textId="77777777" w:rsidR="00EF26BC" w:rsidRDefault="00EF26BC">
      <w:pPr>
        <w:spacing w:line="200" w:lineRule="exact"/>
        <w:rPr>
          <w:sz w:val="20"/>
          <w:szCs w:val="20"/>
        </w:rPr>
      </w:pPr>
    </w:p>
    <w:p w14:paraId="78AE9C10" w14:textId="77777777" w:rsidR="00EF26BC" w:rsidRDefault="00EF26BC">
      <w:pPr>
        <w:spacing w:line="200" w:lineRule="exact"/>
        <w:rPr>
          <w:sz w:val="20"/>
          <w:szCs w:val="20"/>
        </w:rPr>
      </w:pPr>
    </w:p>
    <w:p w14:paraId="78AE9C11" w14:textId="77777777" w:rsidR="00EF26BC" w:rsidRDefault="00EF26BC">
      <w:pPr>
        <w:spacing w:line="200" w:lineRule="exact"/>
        <w:rPr>
          <w:sz w:val="20"/>
          <w:szCs w:val="20"/>
        </w:rPr>
      </w:pPr>
    </w:p>
    <w:p w14:paraId="78AE9C12" w14:textId="77777777" w:rsidR="00EF26BC" w:rsidRDefault="00EF26BC">
      <w:pPr>
        <w:spacing w:line="200" w:lineRule="exact"/>
        <w:rPr>
          <w:sz w:val="20"/>
          <w:szCs w:val="20"/>
        </w:rPr>
      </w:pPr>
    </w:p>
    <w:p w14:paraId="78AE9C13" w14:textId="77777777" w:rsidR="00EF26BC" w:rsidRDefault="00EF26BC">
      <w:pPr>
        <w:spacing w:line="200" w:lineRule="exact"/>
        <w:rPr>
          <w:sz w:val="20"/>
          <w:szCs w:val="20"/>
        </w:rPr>
      </w:pPr>
    </w:p>
    <w:p w14:paraId="78AE9C14" w14:textId="77777777" w:rsidR="00EF26BC" w:rsidRDefault="00EF26BC">
      <w:pPr>
        <w:spacing w:line="200" w:lineRule="exact"/>
        <w:rPr>
          <w:sz w:val="20"/>
          <w:szCs w:val="20"/>
        </w:rPr>
      </w:pPr>
    </w:p>
    <w:p w14:paraId="78AE9C15" w14:textId="77777777" w:rsidR="00EF26BC" w:rsidRDefault="00EF26BC">
      <w:pPr>
        <w:spacing w:line="200" w:lineRule="exact"/>
        <w:rPr>
          <w:sz w:val="20"/>
          <w:szCs w:val="20"/>
        </w:rPr>
      </w:pPr>
    </w:p>
    <w:p w14:paraId="78AE9C16" w14:textId="77777777" w:rsidR="00EF26BC" w:rsidRDefault="00EF26BC">
      <w:pPr>
        <w:spacing w:line="200" w:lineRule="exact"/>
        <w:rPr>
          <w:sz w:val="20"/>
          <w:szCs w:val="20"/>
        </w:rPr>
      </w:pPr>
    </w:p>
    <w:p w14:paraId="78AE9C17" w14:textId="77777777" w:rsidR="00EF26BC" w:rsidRDefault="00EF26BC">
      <w:pPr>
        <w:spacing w:line="200" w:lineRule="exact"/>
        <w:rPr>
          <w:sz w:val="20"/>
          <w:szCs w:val="20"/>
        </w:rPr>
      </w:pPr>
    </w:p>
    <w:p w14:paraId="78AE9C18" w14:textId="77777777" w:rsidR="00EF26BC" w:rsidRDefault="00EF26BC">
      <w:pPr>
        <w:spacing w:line="200" w:lineRule="exact"/>
        <w:rPr>
          <w:sz w:val="20"/>
          <w:szCs w:val="20"/>
        </w:rPr>
      </w:pPr>
    </w:p>
    <w:p w14:paraId="78AE9C19" w14:textId="77777777" w:rsidR="00EF26BC" w:rsidRDefault="00EF26BC">
      <w:pPr>
        <w:spacing w:line="200" w:lineRule="exact"/>
        <w:rPr>
          <w:sz w:val="20"/>
          <w:szCs w:val="20"/>
        </w:rPr>
      </w:pPr>
    </w:p>
    <w:p w14:paraId="78AE9C1A" w14:textId="77777777" w:rsidR="00EF26BC" w:rsidRDefault="00EF26BC">
      <w:pPr>
        <w:spacing w:line="200" w:lineRule="exact"/>
        <w:rPr>
          <w:sz w:val="20"/>
          <w:szCs w:val="20"/>
        </w:rPr>
      </w:pPr>
    </w:p>
    <w:p w14:paraId="78AE9C1B" w14:textId="77777777" w:rsidR="00EF26BC" w:rsidRDefault="00EF26BC">
      <w:pPr>
        <w:spacing w:line="200" w:lineRule="exact"/>
        <w:rPr>
          <w:sz w:val="20"/>
          <w:szCs w:val="20"/>
        </w:rPr>
      </w:pPr>
    </w:p>
    <w:p w14:paraId="78AE9C1C" w14:textId="77777777" w:rsidR="00EF26BC" w:rsidRDefault="00EF26BC">
      <w:pPr>
        <w:spacing w:line="200" w:lineRule="exact"/>
        <w:rPr>
          <w:sz w:val="20"/>
          <w:szCs w:val="20"/>
        </w:rPr>
      </w:pPr>
    </w:p>
    <w:p w14:paraId="78AE9C1D" w14:textId="77777777" w:rsidR="00EF26BC" w:rsidRDefault="00EF26BC">
      <w:pPr>
        <w:spacing w:line="200" w:lineRule="exact"/>
        <w:rPr>
          <w:sz w:val="20"/>
          <w:szCs w:val="20"/>
        </w:rPr>
      </w:pPr>
    </w:p>
    <w:p w14:paraId="78AE9C1E" w14:textId="77777777" w:rsidR="00EF26BC" w:rsidRDefault="00EF26BC">
      <w:pPr>
        <w:spacing w:line="200" w:lineRule="exact"/>
        <w:rPr>
          <w:sz w:val="20"/>
          <w:szCs w:val="20"/>
        </w:rPr>
      </w:pPr>
    </w:p>
    <w:p w14:paraId="78AE9C1F" w14:textId="77777777" w:rsidR="00EF26BC" w:rsidRDefault="00EF26BC">
      <w:pPr>
        <w:spacing w:line="200" w:lineRule="exact"/>
        <w:rPr>
          <w:sz w:val="20"/>
          <w:szCs w:val="20"/>
        </w:rPr>
      </w:pPr>
    </w:p>
    <w:p w14:paraId="78AE9C20" w14:textId="77777777" w:rsidR="00EF26BC" w:rsidRDefault="00EF26BC">
      <w:pPr>
        <w:spacing w:line="200" w:lineRule="exact"/>
        <w:rPr>
          <w:sz w:val="20"/>
          <w:szCs w:val="20"/>
        </w:rPr>
      </w:pPr>
    </w:p>
    <w:p w14:paraId="78AE9C21" w14:textId="77777777" w:rsidR="00EF26BC" w:rsidRDefault="00EF26BC">
      <w:pPr>
        <w:spacing w:line="200" w:lineRule="exact"/>
        <w:rPr>
          <w:sz w:val="20"/>
          <w:szCs w:val="20"/>
        </w:rPr>
      </w:pPr>
    </w:p>
    <w:p w14:paraId="78AE9C22" w14:textId="77777777" w:rsidR="00EF26BC" w:rsidRDefault="00EF26BC">
      <w:pPr>
        <w:spacing w:line="200" w:lineRule="exact"/>
        <w:rPr>
          <w:sz w:val="20"/>
          <w:szCs w:val="20"/>
        </w:rPr>
      </w:pPr>
    </w:p>
    <w:p w14:paraId="78AE9C23" w14:textId="77777777" w:rsidR="00EF26BC" w:rsidRDefault="00EF26BC">
      <w:pPr>
        <w:spacing w:line="200" w:lineRule="exact"/>
        <w:rPr>
          <w:sz w:val="20"/>
          <w:szCs w:val="20"/>
        </w:rPr>
      </w:pPr>
    </w:p>
    <w:p w14:paraId="78AE9C24" w14:textId="77777777" w:rsidR="00EF26BC" w:rsidRDefault="00EF26BC">
      <w:pPr>
        <w:spacing w:line="200" w:lineRule="exact"/>
        <w:rPr>
          <w:sz w:val="20"/>
          <w:szCs w:val="20"/>
        </w:rPr>
      </w:pPr>
    </w:p>
    <w:p w14:paraId="78AE9C25" w14:textId="77777777" w:rsidR="00EF26BC" w:rsidRDefault="00EF26BC">
      <w:pPr>
        <w:spacing w:line="200" w:lineRule="exact"/>
        <w:rPr>
          <w:sz w:val="20"/>
          <w:szCs w:val="20"/>
        </w:rPr>
      </w:pPr>
    </w:p>
    <w:p w14:paraId="78AE9C26" w14:textId="77777777" w:rsidR="00EF26BC" w:rsidRDefault="00EF26BC">
      <w:pPr>
        <w:spacing w:line="200" w:lineRule="exact"/>
        <w:rPr>
          <w:sz w:val="20"/>
          <w:szCs w:val="20"/>
        </w:rPr>
      </w:pPr>
    </w:p>
    <w:p w14:paraId="78AE9C27" w14:textId="77777777" w:rsidR="00EF26BC" w:rsidRDefault="00EF26BC">
      <w:pPr>
        <w:spacing w:line="248" w:lineRule="exact"/>
        <w:rPr>
          <w:sz w:val="20"/>
          <w:szCs w:val="20"/>
        </w:rPr>
      </w:pPr>
    </w:p>
    <w:tbl>
      <w:tblPr>
        <w:tblW w:w="0" w:type="auto"/>
        <w:tblInd w:w="1820" w:type="dxa"/>
        <w:tblLayout w:type="fixed"/>
        <w:tblCellMar>
          <w:left w:w="0" w:type="dxa"/>
          <w:right w:w="0" w:type="dxa"/>
        </w:tblCellMar>
        <w:tblLook w:val="04A0" w:firstRow="1" w:lastRow="0" w:firstColumn="1" w:lastColumn="0" w:noHBand="0" w:noVBand="1"/>
      </w:tblPr>
      <w:tblGrid>
        <w:gridCol w:w="6920"/>
        <w:gridCol w:w="1580"/>
        <w:gridCol w:w="20"/>
      </w:tblGrid>
      <w:tr w:rsidR="00EF26BC" w14:paraId="78AE9C2B" w14:textId="77777777">
        <w:trPr>
          <w:trHeight w:val="240"/>
        </w:trPr>
        <w:tc>
          <w:tcPr>
            <w:tcW w:w="6920" w:type="dxa"/>
            <w:vAlign w:val="bottom"/>
          </w:tcPr>
          <w:p w14:paraId="78AE9C28" w14:textId="77777777" w:rsidR="00EF26BC" w:rsidRDefault="00343DF1">
            <w:pPr>
              <w:ind w:right="1099"/>
              <w:jc w:val="center"/>
              <w:rPr>
                <w:sz w:val="20"/>
                <w:szCs w:val="20"/>
              </w:rPr>
            </w:pPr>
            <w:r>
              <w:rPr>
                <w:rFonts w:ascii="Arial" w:eastAsia="Arial" w:hAnsi="Arial" w:cs="Arial"/>
                <w:w w:val="96"/>
                <w:sz w:val="20"/>
                <w:szCs w:val="20"/>
              </w:rPr>
              <w:t>Anuario del Centro de Investigación y Estudios Políticos</w:t>
            </w:r>
          </w:p>
        </w:tc>
        <w:tc>
          <w:tcPr>
            <w:tcW w:w="1580" w:type="dxa"/>
            <w:vMerge w:val="restart"/>
            <w:vAlign w:val="bottom"/>
          </w:tcPr>
          <w:p w14:paraId="78AE9C29" w14:textId="77777777" w:rsidR="00EF26BC" w:rsidRDefault="00343DF1">
            <w:pPr>
              <w:jc w:val="right"/>
              <w:rPr>
                <w:sz w:val="20"/>
                <w:szCs w:val="20"/>
              </w:rPr>
            </w:pPr>
            <w:r>
              <w:rPr>
                <w:rFonts w:ascii="Arial" w:eastAsia="Arial" w:hAnsi="Arial" w:cs="Arial"/>
              </w:rPr>
              <w:t>115</w:t>
            </w:r>
          </w:p>
        </w:tc>
        <w:tc>
          <w:tcPr>
            <w:tcW w:w="0" w:type="dxa"/>
            <w:vAlign w:val="bottom"/>
          </w:tcPr>
          <w:p w14:paraId="78AE9C2A" w14:textId="77777777" w:rsidR="00EF26BC" w:rsidRDefault="00EF26BC">
            <w:pPr>
              <w:rPr>
                <w:sz w:val="1"/>
                <w:szCs w:val="1"/>
              </w:rPr>
            </w:pPr>
          </w:p>
        </w:tc>
      </w:tr>
      <w:tr w:rsidR="00EF26BC" w14:paraId="78AE9C2F" w14:textId="77777777">
        <w:trPr>
          <w:trHeight w:val="260"/>
        </w:trPr>
        <w:tc>
          <w:tcPr>
            <w:tcW w:w="6920" w:type="dxa"/>
            <w:vAlign w:val="bottom"/>
          </w:tcPr>
          <w:p w14:paraId="78AE9C2C" w14:textId="77777777" w:rsidR="00EF26BC" w:rsidRDefault="00343DF1">
            <w:pPr>
              <w:ind w:right="1099"/>
              <w:jc w:val="center"/>
              <w:rPr>
                <w:sz w:val="20"/>
                <w:szCs w:val="20"/>
              </w:rPr>
            </w:pPr>
            <w:r>
              <w:rPr>
                <w:rFonts w:ascii="Arial" w:eastAsia="Arial" w:hAnsi="Arial" w:cs="Arial"/>
                <w:sz w:val="20"/>
                <w:szCs w:val="20"/>
              </w:rPr>
              <w:t xml:space="preserve">Universidad de Costa Rica, 10: 89-115, 2019 </w:t>
            </w:r>
            <w:r>
              <w:rPr>
                <w:rFonts w:ascii="Arial" w:eastAsia="Arial" w:hAnsi="Arial" w:cs="Arial"/>
                <w:sz w:val="20"/>
                <w:szCs w:val="20"/>
              </w:rPr>
              <w:t>ISSN: 2215-2873</w:t>
            </w:r>
          </w:p>
        </w:tc>
        <w:tc>
          <w:tcPr>
            <w:tcW w:w="1580" w:type="dxa"/>
            <w:vMerge/>
            <w:vAlign w:val="bottom"/>
          </w:tcPr>
          <w:p w14:paraId="78AE9C2D" w14:textId="77777777" w:rsidR="00EF26BC" w:rsidRDefault="00EF26BC"/>
        </w:tc>
        <w:tc>
          <w:tcPr>
            <w:tcW w:w="0" w:type="dxa"/>
            <w:vAlign w:val="bottom"/>
          </w:tcPr>
          <w:p w14:paraId="78AE9C2E" w14:textId="77777777" w:rsidR="00EF26BC" w:rsidRDefault="00EF26BC">
            <w:pPr>
              <w:rPr>
                <w:sz w:val="1"/>
                <w:szCs w:val="1"/>
              </w:rPr>
            </w:pPr>
          </w:p>
        </w:tc>
      </w:tr>
    </w:tbl>
    <w:p w14:paraId="78AE9C30" w14:textId="77777777" w:rsidR="00EF26BC" w:rsidRDefault="00EF26BC">
      <w:pPr>
        <w:spacing w:line="1" w:lineRule="exact"/>
        <w:rPr>
          <w:sz w:val="20"/>
          <w:szCs w:val="20"/>
        </w:rPr>
      </w:pPr>
    </w:p>
    <w:sectPr w:rsidR="00EF26BC">
      <w:pgSz w:w="12240" w:h="15840"/>
      <w:pgMar w:top="714" w:right="480" w:bottom="121" w:left="1440" w:header="0" w:footer="0" w:gutter="0"/>
      <w:cols w:space="720" w:equalWidth="0">
        <w:col w:w="10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1B"/>
    <w:multiLevelType w:val="hybridMultilevel"/>
    <w:tmpl w:val="D8CE0392"/>
    <w:lvl w:ilvl="0" w:tplc="5ABEA3EE">
      <w:start w:val="1"/>
      <w:numFmt w:val="bullet"/>
      <w:lvlText w:val="ü"/>
      <w:lvlJc w:val="left"/>
    </w:lvl>
    <w:lvl w:ilvl="1" w:tplc="832CABBC">
      <w:numFmt w:val="decimal"/>
      <w:lvlText w:val=""/>
      <w:lvlJc w:val="left"/>
    </w:lvl>
    <w:lvl w:ilvl="2" w:tplc="F7760244">
      <w:numFmt w:val="decimal"/>
      <w:lvlText w:val=""/>
      <w:lvlJc w:val="left"/>
    </w:lvl>
    <w:lvl w:ilvl="3" w:tplc="36B2C59E">
      <w:numFmt w:val="decimal"/>
      <w:lvlText w:val=""/>
      <w:lvlJc w:val="left"/>
    </w:lvl>
    <w:lvl w:ilvl="4" w:tplc="ED543B62">
      <w:numFmt w:val="decimal"/>
      <w:lvlText w:val=""/>
      <w:lvlJc w:val="left"/>
    </w:lvl>
    <w:lvl w:ilvl="5" w:tplc="68143CBA">
      <w:numFmt w:val="decimal"/>
      <w:lvlText w:val=""/>
      <w:lvlJc w:val="left"/>
    </w:lvl>
    <w:lvl w:ilvl="6" w:tplc="3F32D58C">
      <w:numFmt w:val="decimal"/>
      <w:lvlText w:val=""/>
      <w:lvlJc w:val="left"/>
    </w:lvl>
    <w:lvl w:ilvl="7" w:tplc="0A8CDDBC">
      <w:numFmt w:val="decimal"/>
      <w:lvlText w:val=""/>
      <w:lvlJc w:val="left"/>
    </w:lvl>
    <w:lvl w:ilvl="8" w:tplc="28ACDC96">
      <w:numFmt w:val="decimal"/>
      <w:lvlText w:val=""/>
      <w:lvlJc w:val="left"/>
    </w:lvl>
  </w:abstractNum>
  <w:abstractNum w:abstractNumId="1" w15:restartNumberingAfterBreak="0">
    <w:nsid w:val="12200854"/>
    <w:multiLevelType w:val="hybridMultilevel"/>
    <w:tmpl w:val="CFBC18CA"/>
    <w:lvl w:ilvl="0" w:tplc="3BF8FFBA">
      <w:start w:val="1"/>
      <w:numFmt w:val="bullet"/>
      <w:lvlText w:val="6"/>
      <w:lvlJc w:val="left"/>
    </w:lvl>
    <w:lvl w:ilvl="1" w:tplc="3C40C13E">
      <w:numFmt w:val="decimal"/>
      <w:lvlText w:val=""/>
      <w:lvlJc w:val="left"/>
    </w:lvl>
    <w:lvl w:ilvl="2" w:tplc="E0EC73B4">
      <w:numFmt w:val="decimal"/>
      <w:lvlText w:val=""/>
      <w:lvlJc w:val="left"/>
    </w:lvl>
    <w:lvl w:ilvl="3" w:tplc="4DC60406">
      <w:numFmt w:val="decimal"/>
      <w:lvlText w:val=""/>
      <w:lvlJc w:val="left"/>
    </w:lvl>
    <w:lvl w:ilvl="4" w:tplc="BFEA264C">
      <w:numFmt w:val="decimal"/>
      <w:lvlText w:val=""/>
      <w:lvlJc w:val="left"/>
    </w:lvl>
    <w:lvl w:ilvl="5" w:tplc="AEBA89B4">
      <w:numFmt w:val="decimal"/>
      <w:lvlText w:val=""/>
      <w:lvlJc w:val="left"/>
    </w:lvl>
    <w:lvl w:ilvl="6" w:tplc="317A8BB8">
      <w:numFmt w:val="decimal"/>
      <w:lvlText w:val=""/>
      <w:lvlJc w:val="left"/>
    </w:lvl>
    <w:lvl w:ilvl="7" w:tplc="7B7E27AC">
      <w:numFmt w:val="decimal"/>
      <w:lvlText w:val=""/>
      <w:lvlJc w:val="left"/>
    </w:lvl>
    <w:lvl w:ilvl="8" w:tplc="5CC44154">
      <w:numFmt w:val="decimal"/>
      <w:lvlText w:val=""/>
      <w:lvlJc w:val="left"/>
    </w:lvl>
  </w:abstractNum>
  <w:abstractNum w:abstractNumId="2" w15:restartNumberingAfterBreak="0">
    <w:nsid w:val="1F16E9E8"/>
    <w:multiLevelType w:val="hybridMultilevel"/>
    <w:tmpl w:val="09D469E0"/>
    <w:lvl w:ilvl="0" w:tplc="0DA862D2">
      <w:start w:val="1"/>
      <w:numFmt w:val="bullet"/>
      <w:lvlText w:val="ü"/>
      <w:lvlJc w:val="left"/>
    </w:lvl>
    <w:lvl w:ilvl="1" w:tplc="89420CF4">
      <w:numFmt w:val="decimal"/>
      <w:lvlText w:val=""/>
      <w:lvlJc w:val="left"/>
    </w:lvl>
    <w:lvl w:ilvl="2" w:tplc="4A62FB9A">
      <w:numFmt w:val="decimal"/>
      <w:lvlText w:val=""/>
      <w:lvlJc w:val="left"/>
    </w:lvl>
    <w:lvl w:ilvl="3" w:tplc="E2265EDA">
      <w:numFmt w:val="decimal"/>
      <w:lvlText w:val=""/>
      <w:lvlJc w:val="left"/>
    </w:lvl>
    <w:lvl w:ilvl="4" w:tplc="5A4C9E8A">
      <w:numFmt w:val="decimal"/>
      <w:lvlText w:val=""/>
      <w:lvlJc w:val="left"/>
    </w:lvl>
    <w:lvl w:ilvl="5" w:tplc="85B61212">
      <w:numFmt w:val="decimal"/>
      <w:lvlText w:val=""/>
      <w:lvlJc w:val="left"/>
    </w:lvl>
    <w:lvl w:ilvl="6" w:tplc="B0E60856">
      <w:numFmt w:val="decimal"/>
      <w:lvlText w:val=""/>
      <w:lvlJc w:val="left"/>
    </w:lvl>
    <w:lvl w:ilvl="7" w:tplc="15026374">
      <w:numFmt w:val="decimal"/>
      <w:lvlText w:val=""/>
      <w:lvlJc w:val="left"/>
    </w:lvl>
    <w:lvl w:ilvl="8" w:tplc="E3BADFA0">
      <w:numFmt w:val="decimal"/>
      <w:lvlText w:val=""/>
      <w:lvlJc w:val="left"/>
    </w:lvl>
  </w:abstractNum>
  <w:abstractNum w:abstractNumId="3" w15:restartNumberingAfterBreak="0">
    <w:nsid w:val="2EB141F2"/>
    <w:multiLevelType w:val="hybridMultilevel"/>
    <w:tmpl w:val="EAFC84EE"/>
    <w:lvl w:ilvl="0" w:tplc="02EA4E48">
      <w:start w:val="1"/>
      <w:numFmt w:val="bullet"/>
      <w:lvlText w:val="•"/>
      <w:lvlJc w:val="left"/>
    </w:lvl>
    <w:lvl w:ilvl="1" w:tplc="A68AA926">
      <w:numFmt w:val="decimal"/>
      <w:lvlText w:val=""/>
      <w:lvlJc w:val="left"/>
    </w:lvl>
    <w:lvl w:ilvl="2" w:tplc="9252CC2A">
      <w:numFmt w:val="decimal"/>
      <w:lvlText w:val=""/>
      <w:lvlJc w:val="left"/>
    </w:lvl>
    <w:lvl w:ilvl="3" w:tplc="FF7017CC">
      <w:numFmt w:val="decimal"/>
      <w:lvlText w:val=""/>
      <w:lvlJc w:val="left"/>
    </w:lvl>
    <w:lvl w:ilvl="4" w:tplc="31A27A3C">
      <w:numFmt w:val="decimal"/>
      <w:lvlText w:val=""/>
      <w:lvlJc w:val="left"/>
    </w:lvl>
    <w:lvl w:ilvl="5" w:tplc="ECA4E786">
      <w:numFmt w:val="decimal"/>
      <w:lvlText w:val=""/>
      <w:lvlJc w:val="left"/>
    </w:lvl>
    <w:lvl w:ilvl="6" w:tplc="B052B250">
      <w:numFmt w:val="decimal"/>
      <w:lvlText w:val=""/>
      <w:lvlJc w:val="left"/>
    </w:lvl>
    <w:lvl w:ilvl="7" w:tplc="4736573E">
      <w:numFmt w:val="decimal"/>
      <w:lvlText w:val=""/>
      <w:lvlJc w:val="left"/>
    </w:lvl>
    <w:lvl w:ilvl="8" w:tplc="757228B4">
      <w:numFmt w:val="decimal"/>
      <w:lvlText w:val=""/>
      <w:lvlJc w:val="left"/>
    </w:lvl>
  </w:abstractNum>
  <w:abstractNum w:abstractNumId="4" w15:restartNumberingAfterBreak="0">
    <w:nsid w:val="41B71EFB"/>
    <w:multiLevelType w:val="hybridMultilevel"/>
    <w:tmpl w:val="0F661020"/>
    <w:lvl w:ilvl="0" w:tplc="DE54F20E">
      <w:start w:val="1"/>
      <w:numFmt w:val="bullet"/>
      <w:lvlText w:val="1"/>
      <w:lvlJc w:val="left"/>
    </w:lvl>
    <w:lvl w:ilvl="1" w:tplc="B33475E6">
      <w:numFmt w:val="decimal"/>
      <w:lvlText w:val=""/>
      <w:lvlJc w:val="left"/>
    </w:lvl>
    <w:lvl w:ilvl="2" w:tplc="7EE44DBC">
      <w:numFmt w:val="decimal"/>
      <w:lvlText w:val=""/>
      <w:lvlJc w:val="left"/>
    </w:lvl>
    <w:lvl w:ilvl="3" w:tplc="798C590A">
      <w:numFmt w:val="decimal"/>
      <w:lvlText w:val=""/>
      <w:lvlJc w:val="left"/>
    </w:lvl>
    <w:lvl w:ilvl="4" w:tplc="688C1B1C">
      <w:numFmt w:val="decimal"/>
      <w:lvlText w:val=""/>
      <w:lvlJc w:val="left"/>
    </w:lvl>
    <w:lvl w:ilvl="5" w:tplc="47FC1DBE">
      <w:numFmt w:val="decimal"/>
      <w:lvlText w:val=""/>
      <w:lvlJc w:val="left"/>
    </w:lvl>
    <w:lvl w:ilvl="6" w:tplc="64966D14">
      <w:numFmt w:val="decimal"/>
      <w:lvlText w:val=""/>
      <w:lvlJc w:val="left"/>
    </w:lvl>
    <w:lvl w:ilvl="7" w:tplc="2E1C57A2">
      <w:numFmt w:val="decimal"/>
      <w:lvlText w:val=""/>
      <w:lvlJc w:val="left"/>
    </w:lvl>
    <w:lvl w:ilvl="8" w:tplc="47E46786">
      <w:numFmt w:val="decimal"/>
      <w:lvlText w:val=""/>
      <w:lvlJc w:val="left"/>
    </w:lvl>
  </w:abstractNum>
  <w:abstractNum w:abstractNumId="5" w15:restartNumberingAfterBreak="0">
    <w:nsid w:val="4DB127F8"/>
    <w:multiLevelType w:val="hybridMultilevel"/>
    <w:tmpl w:val="8BF223E6"/>
    <w:lvl w:ilvl="0" w:tplc="8AFEA2D6">
      <w:start w:val="1"/>
      <w:numFmt w:val="bullet"/>
      <w:lvlText w:val="ü"/>
      <w:lvlJc w:val="left"/>
    </w:lvl>
    <w:lvl w:ilvl="1" w:tplc="922068DC">
      <w:numFmt w:val="decimal"/>
      <w:lvlText w:val=""/>
      <w:lvlJc w:val="left"/>
    </w:lvl>
    <w:lvl w:ilvl="2" w:tplc="3A2645DE">
      <w:numFmt w:val="decimal"/>
      <w:lvlText w:val=""/>
      <w:lvlJc w:val="left"/>
    </w:lvl>
    <w:lvl w:ilvl="3" w:tplc="A6966A80">
      <w:numFmt w:val="decimal"/>
      <w:lvlText w:val=""/>
      <w:lvlJc w:val="left"/>
    </w:lvl>
    <w:lvl w:ilvl="4" w:tplc="47C25EC0">
      <w:numFmt w:val="decimal"/>
      <w:lvlText w:val=""/>
      <w:lvlJc w:val="left"/>
    </w:lvl>
    <w:lvl w:ilvl="5" w:tplc="73DC410E">
      <w:numFmt w:val="decimal"/>
      <w:lvlText w:val=""/>
      <w:lvlJc w:val="left"/>
    </w:lvl>
    <w:lvl w:ilvl="6" w:tplc="12E6794A">
      <w:numFmt w:val="decimal"/>
      <w:lvlText w:val=""/>
      <w:lvlJc w:val="left"/>
    </w:lvl>
    <w:lvl w:ilvl="7" w:tplc="8B362352">
      <w:numFmt w:val="decimal"/>
      <w:lvlText w:val=""/>
      <w:lvlJc w:val="left"/>
    </w:lvl>
    <w:lvl w:ilvl="8" w:tplc="73282996">
      <w:numFmt w:val="decimal"/>
      <w:lvlText w:val=""/>
      <w:lvlJc w:val="left"/>
    </w:lvl>
  </w:abstractNum>
  <w:abstractNum w:abstractNumId="6" w15:restartNumberingAfterBreak="0">
    <w:nsid w:val="507ED7AB"/>
    <w:multiLevelType w:val="hybridMultilevel"/>
    <w:tmpl w:val="B918771A"/>
    <w:lvl w:ilvl="0" w:tplc="8D846444">
      <w:start w:val="1"/>
      <w:numFmt w:val="bullet"/>
      <w:lvlText w:val="•"/>
      <w:lvlJc w:val="left"/>
    </w:lvl>
    <w:lvl w:ilvl="1" w:tplc="108E5546">
      <w:numFmt w:val="decimal"/>
      <w:lvlText w:val=""/>
      <w:lvlJc w:val="left"/>
    </w:lvl>
    <w:lvl w:ilvl="2" w:tplc="F7AE9936">
      <w:numFmt w:val="decimal"/>
      <w:lvlText w:val=""/>
      <w:lvlJc w:val="left"/>
    </w:lvl>
    <w:lvl w:ilvl="3" w:tplc="1EB0B70E">
      <w:numFmt w:val="decimal"/>
      <w:lvlText w:val=""/>
      <w:lvlJc w:val="left"/>
    </w:lvl>
    <w:lvl w:ilvl="4" w:tplc="2D8CB6C4">
      <w:numFmt w:val="decimal"/>
      <w:lvlText w:val=""/>
      <w:lvlJc w:val="left"/>
    </w:lvl>
    <w:lvl w:ilvl="5" w:tplc="F8127BFA">
      <w:numFmt w:val="decimal"/>
      <w:lvlText w:val=""/>
      <w:lvlJc w:val="left"/>
    </w:lvl>
    <w:lvl w:ilvl="6" w:tplc="9F3E7834">
      <w:numFmt w:val="decimal"/>
      <w:lvlText w:val=""/>
      <w:lvlJc w:val="left"/>
    </w:lvl>
    <w:lvl w:ilvl="7" w:tplc="C186D174">
      <w:numFmt w:val="decimal"/>
      <w:lvlText w:val=""/>
      <w:lvlJc w:val="left"/>
    </w:lvl>
    <w:lvl w:ilvl="8" w:tplc="F9FE3230">
      <w:numFmt w:val="decimal"/>
      <w:lvlText w:val=""/>
      <w:lvlJc w:val="left"/>
    </w:lvl>
  </w:abstractNum>
  <w:abstractNum w:abstractNumId="7" w15:restartNumberingAfterBreak="0">
    <w:nsid w:val="515F007C"/>
    <w:multiLevelType w:val="hybridMultilevel"/>
    <w:tmpl w:val="56F09E24"/>
    <w:lvl w:ilvl="0" w:tplc="58485078">
      <w:start w:val="1"/>
      <w:numFmt w:val="bullet"/>
      <w:lvlText w:val="(…)"/>
      <w:lvlJc w:val="left"/>
    </w:lvl>
    <w:lvl w:ilvl="1" w:tplc="98824524">
      <w:numFmt w:val="decimal"/>
      <w:lvlText w:val=""/>
      <w:lvlJc w:val="left"/>
    </w:lvl>
    <w:lvl w:ilvl="2" w:tplc="DF008B62">
      <w:numFmt w:val="decimal"/>
      <w:lvlText w:val=""/>
      <w:lvlJc w:val="left"/>
    </w:lvl>
    <w:lvl w:ilvl="3" w:tplc="C774532A">
      <w:numFmt w:val="decimal"/>
      <w:lvlText w:val=""/>
      <w:lvlJc w:val="left"/>
    </w:lvl>
    <w:lvl w:ilvl="4" w:tplc="095A06EA">
      <w:numFmt w:val="decimal"/>
      <w:lvlText w:val=""/>
      <w:lvlJc w:val="left"/>
    </w:lvl>
    <w:lvl w:ilvl="5" w:tplc="9E9AFD06">
      <w:numFmt w:val="decimal"/>
      <w:lvlText w:val=""/>
      <w:lvlJc w:val="left"/>
    </w:lvl>
    <w:lvl w:ilvl="6" w:tplc="6E62201C">
      <w:numFmt w:val="decimal"/>
      <w:lvlText w:val=""/>
      <w:lvlJc w:val="left"/>
    </w:lvl>
    <w:lvl w:ilvl="7" w:tplc="1C2AEE96">
      <w:numFmt w:val="decimal"/>
      <w:lvlText w:val=""/>
      <w:lvlJc w:val="left"/>
    </w:lvl>
    <w:lvl w:ilvl="8" w:tplc="B74EC30E">
      <w:numFmt w:val="decimal"/>
      <w:lvlText w:val=""/>
      <w:lvlJc w:val="left"/>
    </w:lvl>
  </w:abstractNum>
  <w:abstractNum w:abstractNumId="8" w15:restartNumberingAfterBreak="0">
    <w:nsid w:val="5BD062C2"/>
    <w:multiLevelType w:val="hybridMultilevel"/>
    <w:tmpl w:val="A71C7EC2"/>
    <w:lvl w:ilvl="0" w:tplc="7D72E47A">
      <w:start w:val="1"/>
      <w:numFmt w:val="bullet"/>
      <w:lvlText w:val="4"/>
      <w:lvlJc w:val="left"/>
    </w:lvl>
    <w:lvl w:ilvl="1" w:tplc="B6DEE302">
      <w:numFmt w:val="decimal"/>
      <w:lvlText w:val=""/>
      <w:lvlJc w:val="left"/>
    </w:lvl>
    <w:lvl w:ilvl="2" w:tplc="426A30E0">
      <w:numFmt w:val="decimal"/>
      <w:lvlText w:val=""/>
      <w:lvlJc w:val="left"/>
    </w:lvl>
    <w:lvl w:ilvl="3" w:tplc="512ED6BA">
      <w:numFmt w:val="decimal"/>
      <w:lvlText w:val=""/>
      <w:lvlJc w:val="left"/>
    </w:lvl>
    <w:lvl w:ilvl="4" w:tplc="41FCEB3A">
      <w:numFmt w:val="decimal"/>
      <w:lvlText w:val=""/>
      <w:lvlJc w:val="left"/>
    </w:lvl>
    <w:lvl w:ilvl="5" w:tplc="BBA41FDC">
      <w:numFmt w:val="decimal"/>
      <w:lvlText w:val=""/>
      <w:lvlJc w:val="left"/>
    </w:lvl>
    <w:lvl w:ilvl="6" w:tplc="B25C16AE">
      <w:numFmt w:val="decimal"/>
      <w:lvlText w:val=""/>
      <w:lvlJc w:val="left"/>
    </w:lvl>
    <w:lvl w:ilvl="7" w:tplc="836AF4F8">
      <w:numFmt w:val="decimal"/>
      <w:lvlText w:val=""/>
      <w:lvlJc w:val="left"/>
    </w:lvl>
    <w:lvl w:ilvl="8" w:tplc="91C6DEEE">
      <w:numFmt w:val="decimal"/>
      <w:lvlText w:val=""/>
      <w:lvlJc w:val="left"/>
    </w:lvl>
  </w:abstractNum>
  <w:abstractNum w:abstractNumId="9" w15:restartNumberingAfterBreak="0">
    <w:nsid w:val="7545E146"/>
    <w:multiLevelType w:val="hybridMultilevel"/>
    <w:tmpl w:val="4C6C58F8"/>
    <w:lvl w:ilvl="0" w:tplc="A762E478">
      <w:start w:val="1"/>
      <w:numFmt w:val="decimal"/>
      <w:lvlText w:val="%1."/>
      <w:lvlJc w:val="left"/>
    </w:lvl>
    <w:lvl w:ilvl="1" w:tplc="723E14C2">
      <w:numFmt w:val="decimal"/>
      <w:lvlText w:val=""/>
      <w:lvlJc w:val="left"/>
    </w:lvl>
    <w:lvl w:ilvl="2" w:tplc="CAD83D1A">
      <w:numFmt w:val="decimal"/>
      <w:lvlText w:val=""/>
      <w:lvlJc w:val="left"/>
    </w:lvl>
    <w:lvl w:ilvl="3" w:tplc="687CF478">
      <w:numFmt w:val="decimal"/>
      <w:lvlText w:val=""/>
      <w:lvlJc w:val="left"/>
    </w:lvl>
    <w:lvl w:ilvl="4" w:tplc="334C3676">
      <w:numFmt w:val="decimal"/>
      <w:lvlText w:val=""/>
      <w:lvlJc w:val="left"/>
    </w:lvl>
    <w:lvl w:ilvl="5" w:tplc="D74ADE82">
      <w:numFmt w:val="decimal"/>
      <w:lvlText w:val=""/>
      <w:lvlJc w:val="left"/>
    </w:lvl>
    <w:lvl w:ilvl="6" w:tplc="9CB079E0">
      <w:numFmt w:val="decimal"/>
      <w:lvlText w:val=""/>
      <w:lvlJc w:val="left"/>
    </w:lvl>
    <w:lvl w:ilvl="7" w:tplc="1A1E528E">
      <w:numFmt w:val="decimal"/>
      <w:lvlText w:val=""/>
      <w:lvlJc w:val="left"/>
    </w:lvl>
    <w:lvl w:ilvl="8" w:tplc="A5E61712">
      <w:numFmt w:val="decimal"/>
      <w:lvlText w:val=""/>
      <w:lvlJc w:val="left"/>
    </w:lvl>
  </w:abstractNum>
  <w:abstractNum w:abstractNumId="10" w15:restartNumberingAfterBreak="0">
    <w:nsid w:val="79E2A9E3"/>
    <w:multiLevelType w:val="hybridMultilevel"/>
    <w:tmpl w:val="EAB4BA0A"/>
    <w:lvl w:ilvl="0" w:tplc="BCA21888">
      <w:start w:val="1"/>
      <w:numFmt w:val="bullet"/>
      <w:lvlText w:val="3"/>
      <w:lvlJc w:val="left"/>
    </w:lvl>
    <w:lvl w:ilvl="1" w:tplc="630C5DF4">
      <w:numFmt w:val="decimal"/>
      <w:lvlText w:val=""/>
      <w:lvlJc w:val="left"/>
    </w:lvl>
    <w:lvl w:ilvl="2" w:tplc="D3DAF9AA">
      <w:numFmt w:val="decimal"/>
      <w:lvlText w:val=""/>
      <w:lvlJc w:val="left"/>
    </w:lvl>
    <w:lvl w:ilvl="3" w:tplc="B1A8088C">
      <w:numFmt w:val="decimal"/>
      <w:lvlText w:val=""/>
      <w:lvlJc w:val="left"/>
    </w:lvl>
    <w:lvl w:ilvl="4" w:tplc="3E4A1AA4">
      <w:numFmt w:val="decimal"/>
      <w:lvlText w:val=""/>
      <w:lvlJc w:val="left"/>
    </w:lvl>
    <w:lvl w:ilvl="5" w:tplc="8DC8AFA0">
      <w:numFmt w:val="decimal"/>
      <w:lvlText w:val=""/>
      <w:lvlJc w:val="left"/>
    </w:lvl>
    <w:lvl w:ilvl="6" w:tplc="1A663BA4">
      <w:numFmt w:val="decimal"/>
      <w:lvlText w:val=""/>
      <w:lvlJc w:val="left"/>
    </w:lvl>
    <w:lvl w:ilvl="7" w:tplc="6B0AFB92">
      <w:numFmt w:val="decimal"/>
      <w:lvlText w:val=""/>
      <w:lvlJc w:val="left"/>
    </w:lvl>
    <w:lvl w:ilvl="8" w:tplc="C560AE40">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BC"/>
    <w:rsid w:val="00343DF1"/>
    <w:rsid w:val="00EF26BC"/>
    <w:rsid w:val="00FA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94C0"/>
  <w15:docId w15:val="{FA649E98-66EE-486B-9035-0D2B491A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9683</Words>
  <Characters>53257</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Alonso Ramirez Cover</cp:lastModifiedBy>
  <cp:revision>3</cp:revision>
  <dcterms:created xsi:type="dcterms:W3CDTF">2020-06-19T23:49:00Z</dcterms:created>
  <dcterms:modified xsi:type="dcterms:W3CDTF">2021-02-25T20:59:00Z</dcterms:modified>
</cp:coreProperties>
</file>