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40CF37" w14:textId="208CEBC0" w:rsidR="00436232" w:rsidRDefault="005A140D" w:rsidP="00C514C3">
      <w:pPr>
        <w:ind w:left="5080" w:hanging="1536"/>
        <w:rPr>
          <w:sz w:val="20"/>
          <w:szCs w:val="20"/>
        </w:rPr>
      </w:pPr>
      <w:bookmarkStart w:id="0" w:name="page1"/>
      <w:bookmarkEnd w:id="0"/>
      <w:r>
        <w:rPr>
          <w:rFonts w:ascii="Arial" w:eastAsia="Arial" w:hAnsi="Arial" w:cs="Arial"/>
          <w:sz w:val="19"/>
          <w:szCs w:val="19"/>
        </w:rPr>
        <w:t>Anuario del Centro de Investigación y Estudios Políticos</w:t>
      </w:r>
      <w:r w:rsidR="00C514C3">
        <w:rPr>
          <w:rFonts w:ascii="Arial" w:eastAsia="Arial" w:hAnsi="Arial" w:cs="Arial"/>
          <w:sz w:val="19"/>
          <w:szCs w:val="19"/>
        </w:rPr>
        <w:t xml:space="preserve">, </w:t>
      </w:r>
      <w:r w:rsidR="00C514C3">
        <w:rPr>
          <w:rFonts w:ascii="Arial" w:eastAsia="Arial" w:hAnsi="Arial" w:cs="Arial"/>
          <w:sz w:val="20"/>
          <w:szCs w:val="20"/>
        </w:rPr>
        <w:t>ISSN: 2215-2873</w:t>
      </w:r>
    </w:p>
    <w:p w14:paraId="7840CF38" w14:textId="77777777" w:rsidR="00436232" w:rsidRDefault="00436232">
      <w:pPr>
        <w:spacing w:line="42" w:lineRule="exact"/>
        <w:rPr>
          <w:sz w:val="24"/>
          <w:szCs w:val="24"/>
        </w:rPr>
      </w:pPr>
    </w:p>
    <w:p w14:paraId="7840CF39" w14:textId="50812642" w:rsidR="00436232" w:rsidRDefault="005A140D">
      <w:pPr>
        <w:ind w:right="420"/>
        <w:jc w:val="right"/>
        <w:rPr>
          <w:sz w:val="20"/>
          <w:szCs w:val="20"/>
        </w:rPr>
      </w:pPr>
      <w:r>
        <w:rPr>
          <w:rFonts w:ascii="Arial" w:eastAsia="Arial" w:hAnsi="Arial" w:cs="Arial"/>
          <w:sz w:val="20"/>
          <w:szCs w:val="20"/>
        </w:rPr>
        <w:t>Universidad de Costa Rica, 10: 141-144, 2019</w:t>
      </w:r>
      <w:r w:rsidR="00C514C3">
        <w:rPr>
          <w:rFonts w:ascii="Arial" w:eastAsia="Arial" w:hAnsi="Arial" w:cs="Arial"/>
          <w:sz w:val="20"/>
          <w:szCs w:val="20"/>
        </w:rPr>
        <w:t>, DOI:</w:t>
      </w:r>
      <w:r>
        <w:rPr>
          <w:rFonts w:ascii="Arial" w:eastAsia="Arial" w:hAnsi="Arial" w:cs="Arial"/>
          <w:sz w:val="20"/>
          <w:szCs w:val="20"/>
        </w:rPr>
        <w:t xml:space="preserve"> </w:t>
      </w:r>
      <w:r w:rsidRPr="005A140D">
        <w:rPr>
          <w:rFonts w:ascii="Arial" w:eastAsia="Arial" w:hAnsi="Arial" w:cs="Arial"/>
          <w:sz w:val="20"/>
          <w:szCs w:val="20"/>
        </w:rPr>
        <w:t>10.15517/ACIEP.V0I10.42174</w:t>
      </w:r>
      <w:r w:rsidR="00C514C3">
        <w:rPr>
          <w:rFonts w:ascii="Arial" w:eastAsia="Arial" w:hAnsi="Arial" w:cs="Arial"/>
          <w:sz w:val="20"/>
          <w:szCs w:val="20"/>
        </w:rPr>
        <w:t xml:space="preserve"> </w:t>
      </w:r>
    </w:p>
    <w:p w14:paraId="7840CF3A" w14:textId="77777777" w:rsidR="00436232" w:rsidRDefault="00436232">
      <w:pPr>
        <w:spacing w:line="200" w:lineRule="exact"/>
        <w:rPr>
          <w:sz w:val="24"/>
          <w:szCs w:val="24"/>
        </w:rPr>
      </w:pPr>
    </w:p>
    <w:p w14:paraId="7840CF3B" w14:textId="77777777" w:rsidR="00436232" w:rsidRDefault="00436232">
      <w:pPr>
        <w:spacing w:line="391" w:lineRule="exact"/>
        <w:rPr>
          <w:sz w:val="24"/>
          <w:szCs w:val="24"/>
        </w:rPr>
      </w:pPr>
    </w:p>
    <w:p w14:paraId="7840CF3C" w14:textId="77777777" w:rsidR="00436232" w:rsidRDefault="005A140D">
      <w:pPr>
        <w:spacing w:line="260" w:lineRule="auto"/>
        <w:ind w:left="820" w:right="2040"/>
        <w:rPr>
          <w:sz w:val="20"/>
          <w:szCs w:val="20"/>
        </w:rPr>
      </w:pPr>
      <w:r>
        <w:rPr>
          <w:rFonts w:ascii="Arial" w:eastAsia="Arial" w:hAnsi="Arial" w:cs="Arial"/>
          <w:color w:val="003E70"/>
          <w:sz w:val="28"/>
          <w:szCs w:val="28"/>
        </w:rPr>
        <w:t xml:space="preserve">SHUGART, M Y TAAGEPERA, R. (2017). </w:t>
      </w:r>
      <w:r w:rsidRPr="00C514C3">
        <w:rPr>
          <w:rFonts w:ascii="Arial" w:eastAsia="Arial" w:hAnsi="Arial" w:cs="Arial"/>
          <w:color w:val="003E70"/>
          <w:sz w:val="28"/>
          <w:szCs w:val="28"/>
          <w:lang w:val="en-US"/>
        </w:rPr>
        <w:t xml:space="preserve">VOTES FROM SEATS. LOGICAL MODELS OF ELECTORAL SYSTEMS. </w:t>
      </w:r>
      <w:r>
        <w:rPr>
          <w:rFonts w:ascii="Arial" w:eastAsia="Arial" w:hAnsi="Arial" w:cs="Arial"/>
          <w:color w:val="003E70"/>
          <w:sz w:val="28"/>
          <w:szCs w:val="28"/>
        </w:rPr>
        <w:t>NEW YORK: CAMBRIDGE UNIVERSITY PRESS.</w:t>
      </w:r>
    </w:p>
    <w:p w14:paraId="7840CF3D" w14:textId="77777777" w:rsidR="00436232" w:rsidRDefault="00436232">
      <w:pPr>
        <w:spacing w:line="126" w:lineRule="exact"/>
        <w:rPr>
          <w:sz w:val="24"/>
          <w:szCs w:val="24"/>
        </w:rPr>
      </w:pPr>
    </w:p>
    <w:p w14:paraId="7840CF3E" w14:textId="77777777" w:rsidR="00436232" w:rsidRDefault="005A140D">
      <w:pPr>
        <w:spacing w:line="245" w:lineRule="auto"/>
        <w:ind w:left="820" w:right="1800"/>
        <w:jc w:val="both"/>
        <w:rPr>
          <w:sz w:val="20"/>
          <w:szCs w:val="20"/>
        </w:rPr>
      </w:pPr>
      <w:r>
        <w:rPr>
          <w:rFonts w:eastAsia="Times New Roman"/>
          <w:sz w:val="24"/>
          <w:szCs w:val="24"/>
        </w:rPr>
        <w:t xml:space="preserve">La </w:t>
      </w:r>
      <w:r>
        <w:rPr>
          <w:rFonts w:eastAsia="Times New Roman"/>
          <w:sz w:val="24"/>
          <w:szCs w:val="24"/>
        </w:rPr>
        <w:t>literatura sobre sistemas electorales es voluminosa, pero pocos nombres resaltan tanto en ella como los de Matthew Shugart y Rein Taagepera. El primero es profesor de Ciencia Política en la Universidad de California (Davis) y se ha especializado en diverso</w:t>
      </w:r>
      <w:r>
        <w:rPr>
          <w:rFonts w:eastAsia="Times New Roman"/>
          <w:sz w:val="24"/>
          <w:szCs w:val="24"/>
        </w:rPr>
        <w:t xml:space="preserve">s campos de la política comparada y las instituciones electorales, aparte de dedicarse al cultivo de frutas. El segundo, actualmente profesor emérito de la Universidad de California (Irvine) y de la Universidad de Tartu, es físico de formación, recibió el </w:t>
      </w:r>
      <w:r>
        <w:rPr>
          <w:rFonts w:eastAsia="Times New Roman"/>
          <w:sz w:val="24"/>
          <w:szCs w:val="24"/>
        </w:rPr>
        <w:t>Premio Johann Skytte en 2008 (el equivalente informal a un Nobel en Ciencia Política) y fue candidato presidencial en Estonia, su país natal.</w:t>
      </w:r>
    </w:p>
    <w:p w14:paraId="7840CF3F" w14:textId="77777777" w:rsidR="00436232" w:rsidRDefault="00436232">
      <w:pPr>
        <w:spacing w:line="148" w:lineRule="exact"/>
        <w:rPr>
          <w:sz w:val="24"/>
          <w:szCs w:val="24"/>
        </w:rPr>
      </w:pPr>
    </w:p>
    <w:p w14:paraId="7840CF40" w14:textId="77777777" w:rsidR="00436232" w:rsidRDefault="005A140D">
      <w:pPr>
        <w:spacing w:line="257" w:lineRule="auto"/>
        <w:ind w:left="820" w:right="1800"/>
        <w:jc w:val="both"/>
        <w:rPr>
          <w:sz w:val="20"/>
          <w:szCs w:val="20"/>
        </w:rPr>
      </w:pPr>
      <w:r>
        <w:rPr>
          <w:rFonts w:eastAsia="Times New Roman"/>
          <w:sz w:val="23"/>
          <w:szCs w:val="23"/>
        </w:rPr>
        <w:t xml:space="preserve">Ambos autores ya habían publicado de manera conjunta </w:t>
      </w:r>
      <w:r>
        <w:rPr>
          <w:rFonts w:eastAsia="Times New Roman"/>
          <w:i/>
          <w:iCs/>
          <w:sz w:val="23"/>
          <w:szCs w:val="23"/>
        </w:rPr>
        <w:t>Seats and Votes: The</w:t>
      </w:r>
      <w:r>
        <w:rPr>
          <w:rFonts w:eastAsia="Times New Roman"/>
          <w:sz w:val="23"/>
          <w:szCs w:val="23"/>
        </w:rPr>
        <w:t xml:space="preserve"> </w:t>
      </w:r>
      <w:r>
        <w:rPr>
          <w:rFonts w:eastAsia="Times New Roman"/>
          <w:i/>
          <w:iCs/>
          <w:sz w:val="23"/>
          <w:szCs w:val="23"/>
        </w:rPr>
        <w:t>Effects and Determinants of Electoral S</w:t>
      </w:r>
      <w:r>
        <w:rPr>
          <w:rFonts w:eastAsia="Times New Roman"/>
          <w:i/>
          <w:iCs/>
          <w:sz w:val="23"/>
          <w:szCs w:val="23"/>
        </w:rPr>
        <w:t xml:space="preserve">ystems </w:t>
      </w:r>
      <w:r>
        <w:rPr>
          <w:rFonts w:eastAsia="Times New Roman"/>
          <w:sz w:val="23"/>
          <w:szCs w:val="23"/>
        </w:rPr>
        <w:t>en 1989, un clásico en la materia,</w:t>
      </w:r>
      <w:r>
        <w:rPr>
          <w:rFonts w:eastAsia="Times New Roman"/>
          <w:i/>
          <w:iCs/>
          <w:sz w:val="23"/>
          <w:szCs w:val="23"/>
        </w:rPr>
        <w:t xml:space="preserve"> </w:t>
      </w:r>
      <w:r>
        <w:rPr>
          <w:rFonts w:eastAsia="Times New Roman"/>
          <w:sz w:val="23"/>
          <w:szCs w:val="23"/>
        </w:rPr>
        <w:t xml:space="preserve">junto con los volúmenes de Maurice Duverger, Gary Cox, Arend Lijphart, Bernard Grofman y Giovanni Sartori, por citar algunos otros. En </w:t>
      </w:r>
      <w:r>
        <w:rPr>
          <w:rFonts w:eastAsia="Times New Roman"/>
          <w:i/>
          <w:iCs/>
          <w:sz w:val="23"/>
          <w:szCs w:val="23"/>
        </w:rPr>
        <w:t>Votes from Seats</w:t>
      </w:r>
      <w:r>
        <w:rPr>
          <w:rFonts w:eastAsia="Times New Roman"/>
          <w:sz w:val="23"/>
          <w:szCs w:val="23"/>
        </w:rPr>
        <w:t xml:space="preserve"> se vislumbra la continuidad y – en parte – la culminación de d</w:t>
      </w:r>
      <w:r>
        <w:rPr>
          <w:rFonts w:eastAsia="Times New Roman"/>
          <w:sz w:val="23"/>
          <w:szCs w:val="23"/>
        </w:rPr>
        <w:t>écadas de estudio de los sistemas electorales por Shugart y Taagepera. Expanden el camino iniciado en sus obras anteriores (v.g., Taagepera y Shugart, 1989 y 1993), pero también corrigen premisas que ahora consideran equivocadas y afinan predicciones que a</w:t>
      </w:r>
      <w:r>
        <w:rPr>
          <w:rFonts w:eastAsia="Times New Roman"/>
          <w:sz w:val="23"/>
          <w:szCs w:val="23"/>
        </w:rPr>
        <w:t>ntes no pasaban de ser sospechas, como abiertamente declaran (pp. 316-317).</w:t>
      </w:r>
    </w:p>
    <w:p w14:paraId="7840CF41" w14:textId="77777777" w:rsidR="00436232" w:rsidRDefault="00436232">
      <w:pPr>
        <w:spacing w:line="134" w:lineRule="exact"/>
        <w:rPr>
          <w:sz w:val="24"/>
          <w:szCs w:val="24"/>
        </w:rPr>
      </w:pPr>
    </w:p>
    <w:p w14:paraId="7840CF42" w14:textId="77777777" w:rsidR="00436232" w:rsidRDefault="005A140D">
      <w:pPr>
        <w:spacing w:line="258" w:lineRule="auto"/>
        <w:ind w:left="820" w:right="1800"/>
        <w:jc w:val="both"/>
        <w:rPr>
          <w:sz w:val="20"/>
          <w:szCs w:val="20"/>
        </w:rPr>
      </w:pPr>
      <w:r>
        <w:rPr>
          <w:rFonts w:eastAsia="Times New Roman"/>
          <w:sz w:val="23"/>
          <w:szCs w:val="23"/>
        </w:rPr>
        <w:t>La obra ofrece un doble aporte científico: uno sustantivo y otro metodológico. En el tema concreto de los sistemas electorales, su funcionamiento y sus consecuencias, el libro est</w:t>
      </w:r>
      <w:r>
        <w:rPr>
          <w:rFonts w:eastAsia="Times New Roman"/>
          <w:sz w:val="23"/>
          <w:szCs w:val="23"/>
        </w:rPr>
        <w:t>á en la frontera del conocimiento. Aunque sintetiza conceptos y teorías que ya conformaban el paradigma de los estudios electorales</w:t>
      </w:r>
    </w:p>
    <w:p w14:paraId="7840CF43" w14:textId="77777777" w:rsidR="00436232" w:rsidRDefault="00436232">
      <w:pPr>
        <w:spacing w:line="1" w:lineRule="exact"/>
        <w:rPr>
          <w:sz w:val="24"/>
          <w:szCs w:val="24"/>
        </w:rPr>
      </w:pPr>
    </w:p>
    <w:p w14:paraId="7840CF44" w14:textId="77777777" w:rsidR="00436232" w:rsidRDefault="005A140D">
      <w:pPr>
        <w:spacing w:line="251" w:lineRule="auto"/>
        <w:ind w:left="820" w:right="1800"/>
        <w:jc w:val="both"/>
        <w:rPr>
          <w:sz w:val="20"/>
          <w:szCs w:val="20"/>
        </w:rPr>
      </w:pPr>
      <w:r>
        <w:rPr>
          <w:rFonts w:eastAsia="Times New Roman"/>
          <w:sz w:val="23"/>
          <w:szCs w:val="23"/>
        </w:rPr>
        <w:t>– y que no resultarán novedosos para las personas conocedoras de la literatura – Shugart y Taagepera llevan las hipótesis a</w:t>
      </w:r>
      <w:r>
        <w:rPr>
          <w:rFonts w:eastAsia="Times New Roman"/>
          <w:sz w:val="23"/>
          <w:szCs w:val="23"/>
        </w:rPr>
        <w:t xml:space="preserve"> un nuevo estadio de prueba empírica, ofreciendo una mirada más robusta a los mecanismos que unen a los sistemas electorales con los sistemas de partidos. En palabras simples, si bien analizan argumentos de larga data como las (mal)llamadas “leyes de Duver</w:t>
      </w:r>
      <w:r>
        <w:rPr>
          <w:rFonts w:eastAsia="Times New Roman"/>
          <w:sz w:val="23"/>
          <w:szCs w:val="23"/>
        </w:rPr>
        <w:t xml:space="preserve">ger” (ver Riker, 1982) que conectan los sistemas mayoritarios y proporcionales con los sistemas bipartidistas y multipartidistas, respectivamente, la aproximación analítica en </w:t>
      </w:r>
      <w:r>
        <w:rPr>
          <w:rFonts w:eastAsia="Times New Roman"/>
          <w:i/>
          <w:iCs/>
          <w:sz w:val="23"/>
          <w:szCs w:val="23"/>
        </w:rPr>
        <w:t>Votes from Seats</w:t>
      </w:r>
      <w:r>
        <w:rPr>
          <w:rFonts w:eastAsia="Times New Roman"/>
          <w:sz w:val="23"/>
          <w:szCs w:val="23"/>
        </w:rPr>
        <w:t xml:space="preserve"> conduce a hallazgos de una solidez considerablemente mayor. Pre</w:t>
      </w:r>
      <w:r>
        <w:rPr>
          <w:rFonts w:eastAsia="Times New Roman"/>
          <w:sz w:val="23"/>
          <w:szCs w:val="23"/>
        </w:rPr>
        <w:t>cisamente, el enfoque metodológico constituye la segunda gran contribución. Prescindiendo del tradicional análisis estadístico, que prueba hipótesis de una manera inductiva y – en ocasiones – intuitiva, Shugart y Taagepera postulan modelos lógicos cuantita</w:t>
      </w:r>
      <w:r>
        <w:rPr>
          <w:rFonts w:eastAsia="Times New Roman"/>
          <w:sz w:val="23"/>
          <w:szCs w:val="23"/>
        </w:rPr>
        <w:t xml:space="preserve">tivos </w:t>
      </w:r>
      <w:r>
        <w:rPr>
          <w:rFonts w:eastAsia="Times New Roman"/>
          <w:i/>
          <w:iCs/>
          <w:sz w:val="23"/>
          <w:szCs w:val="23"/>
        </w:rPr>
        <w:t>antes</w:t>
      </w:r>
      <w:r>
        <w:rPr>
          <w:rFonts w:eastAsia="Times New Roman"/>
          <w:sz w:val="23"/>
          <w:szCs w:val="23"/>
        </w:rPr>
        <w:t xml:space="preserve"> de la prueba empírica. Esta propuesta, basada en anteriores trabajos epistemológicos de Taagepera (2008), en lugar de ajustar una recta a los datos (como típicamente se hace en un análisis de regresión lineal), compara las predicciones teóricas</w:t>
      </w:r>
      <w:r>
        <w:rPr>
          <w:rFonts w:eastAsia="Times New Roman"/>
          <w:sz w:val="23"/>
          <w:szCs w:val="23"/>
        </w:rPr>
        <w:t xml:space="preserve"> previamente formuladas con los datos y las estimaciones estadísticas. Es de esta manera que</w:t>
      </w:r>
    </w:p>
    <w:p w14:paraId="7840CF45" w14:textId="77777777" w:rsidR="00436232" w:rsidRDefault="00436232">
      <w:pPr>
        <w:sectPr w:rsidR="00436232">
          <w:pgSz w:w="12240" w:h="15840"/>
          <w:pgMar w:top="724" w:right="480" w:bottom="7" w:left="1440" w:header="0" w:footer="0" w:gutter="0"/>
          <w:cols w:space="720" w:equalWidth="0">
            <w:col w:w="10320"/>
          </w:cols>
        </w:sectPr>
      </w:pPr>
    </w:p>
    <w:p w14:paraId="7840CF46" w14:textId="77777777" w:rsidR="00436232" w:rsidRDefault="00436232">
      <w:pPr>
        <w:spacing w:line="200" w:lineRule="exact"/>
        <w:rPr>
          <w:sz w:val="24"/>
          <w:szCs w:val="24"/>
        </w:rPr>
      </w:pPr>
    </w:p>
    <w:p w14:paraId="7840CF47" w14:textId="77777777" w:rsidR="00436232" w:rsidRDefault="00436232">
      <w:pPr>
        <w:spacing w:line="200" w:lineRule="exact"/>
        <w:rPr>
          <w:sz w:val="24"/>
          <w:szCs w:val="24"/>
        </w:rPr>
      </w:pPr>
    </w:p>
    <w:p w14:paraId="7840CF48" w14:textId="77777777" w:rsidR="00436232" w:rsidRDefault="00436232">
      <w:pPr>
        <w:spacing w:line="200" w:lineRule="exact"/>
        <w:rPr>
          <w:sz w:val="24"/>
          <w:szCs w:val="24"/>
        </w:rPr>
      </w:pPr>
    </w:p>
    <w:p w14:paraId="7840CF49" w14:textId="77777777" w:rsidR="00436232" w:rsidRDefault="00436232">
      <w:pPr>
        <w:spacing w:line="200" w:lineRule="exact"/>
        <w:rPr>
          <w:sz w:val="24"/>
          <w:szCs w:val="24"/>
        </w:rPr>
      </w:pPr>
    </w:p>
    <w:p w14:paraId="7840CF4A" w14:textId="77777777" w:rsidR="00436232" w:rsidRDefault="00436232">
      <w:pPr>
        <w:spacing w:line="307" w:lineRule="exact"/>
        <w:rPr>
          <w:sz w:val="24"/>
          <w:szCs w:val="24"/>
        </w:rPr>
      </w:pPr>
    </w:p>
    <w:p w14:paraId="7840CF4B" w14:textId="77777777" w:rsidR="00436232" w:rsidRDefault="005A140D">
      <w:pPr>
        <w:ind w:left="9940"/>
        <w:rPr>
          <w:sz w:val="20"/>
          <w:szCs w:val="20"/>
        </w:rPr>
      </w:pPr>
      <w:r>
        <w:rPr>
          <w:rFonts w:ascii="Arial" w:eastAsia="Arial" w:hAnsi="Arial" w:cs="Arial"/>
        </w:rPr>
        <w:t>141</w:t>
      </w:r>
    </w:p>
    <w:p w14:paraId="7840CF4C" w14:textId="77777777" w:rsidR="00436232" w:rsidRDefault="00436232">
      <w:pPr>
        <w:sectPr w:rsidR="00436232">
          <w:type w:val="continuous"/>
          <w:pgSz w:w="12240" w:h="15840"/>
          <w:pgMar w:top="724" w:right="480" w:bottom="7" w:left="1440" w:header="0" w:footer="0" w:gutter="0"/>
          <w:cols w:space="720" w:equalWidth="0">
            <w:col w:w="10320"/>
          </w:cols>
        </w:sectPr>
      </w:pPr>
    </w:p>
    <w:p w14:paraId="7840CF4D" w14:textId="77777777" w:rsidR="00436232" w:rsidRDefault="005A140D">
      <w:pPr>
        <w:ind w:left="3900"/>
        <w:rPr>
          <w:sz w:val="20"/>
          <w:szCs w:val="20"/>
        </w:rPr>
      </w:pPr>
      <w:bookmarkStart w:id="1" w:name="page2"/>
      <w:bookmarkEnd w:id="1"/>
      <w:r>
        <w:rPr>
          <w:rFonts w:ascii="Arial" w:eastAsia="Arial" w:hAnsi="Arial" w:cs="Arial"/>
          <w:sz w:val="20"/>
          <w:szCs w:val="20"/>
        </w:rPr>
        <w:lastRenderedPageBreak/>
        <w:t>Adrián Pignataro</w:t>
      </w:r>
    </w:p>
    <w:p w14:paraId="7840CF4E" w14:textId="77777777" w:rsidR="00436232" w:rsidRDefault="00436232">
      <w:pPr>
        <w:spacing w:line="200" w:lineRule="exact"/>
        <w:rPr>
          <w:sz w:val="20"/>
          <w:szCs w:val="20"/>
        </w:rPr>
      </w:pPr>
    </w:p>
    <w:p w14:paraId="7840CF4F" w14:textId="77777777" w:rsidR="00436232" w:rsidRDefault="00436232">
      <w:pPr>
        <w:spacing w:line="321" w:lineRule="exact"/>
        <w:rPr>
          <w:sz w:val="20"/>
          <w:szCs w:val="20"/>
        </w:rPr>
      </w:pPr>
    </w:p>
    <w:p w14:paraId="7840CF50" w14:textId="77777777" w:rsidR="00436232" w:rsidRDefault="005A140D">
      <w:pPr>
        <w:spacing w:line="284" w:lineRule="auto"/>
        <w:ind w:left="820" w:right="1680"/>
        <w:jc w:val="both"/>
        <w:rPr>
          <w:sz w:val="20"/>
          <w:szCs w:val="20"/>
        </w:rPr>
      </w:pPr>
      <w:r>
        <w:rPr>
          <w:rFonts w:eastAsia="Times New Roman"/>
          <w:sz w:val="24"/>
          <w:szCs w:val="24"/>
        </w:rPr>
        <w:t xml:space="preserve">la ciencia política debería avanzar, a juicio de los autores: primero pensando en la </w:t>
      </w:r>
      <w:r>
        <w:rPr>
          <w:rFonts w:eastAsia="Times New Roman"/>
          <w:sz w:val="24"/>
          <w:szCs w:val="24"/>
        </w:rPr>
        <w:t>relación lógica y luego probando la predicción (pp. 8-14).</w:t>
      </w:r>
    </w:p>
    <w:p w14:paraId="7840CF51" w14:textId="77777777" w:rsidR="00436232" w:rsidRDefault="00436232">
      <w:pPr>
        <w:spacing w:line="100" w:lineRule="exact"/>
        <w:rPr>
          <w:sz w:val="20"/>
          <w:szCs w:val="20"/>
        </w:rPr>
      </w:pPr>
    </w:p>
    <w:p w14:paraId="7840CF52" w14:textId="77777777" w:rsidR="00436232" w:rsidRDefault="005A140D">
      <w:pPr>
        <w:spacing w:line="244" w:lineRule="auto"/>
        <w:ind w:left="820" w:right="1680"/>
        <w:jc w:val="both"/>
        <w:rPr>
          <w:sz w:val="20"/>
          <w:szCs w:val="20"/>
        </w:rPr>
      </w:pPr>
      <w:r>
        <w:rPr>
          <w:rFonts w:eastAsia="Times New Roman"/>
          <w:sz w:val="24"/>
          <w:szCs w:val="24"/>
        </w:rPr>
        <w:t>El libro está compuesto por 17 capítulos. Los primeros seis introducen el enfoque metodológico y los conceptos principales: tipos de sistemas electorales, componentes de los sistemas electorales (</w:t>
      </w:r>
      <w:r>
        <w:rPr>
          <w:rFonts w:eastAsia="Times New Roman"/>
          <w:sz w:val="24"/>
          <w:szCs w:val="24"/>
        </w:rPr>
        <w:t>magnitud de distrito, fórmulas de repartición, umbrales legales) y las medidas de fragmentación y desproporcionalidad. Aunque el libro no es un manual introductorio (por el contrario, requiere lectores familiarizados con la materia), estos capítulos logran</w:t>
      </w:r>
      <w:r>
        <w:rPr>
          <w:rFonts w:eastAsia="Times New Roman"/>
          <w:sz w:val="24"/>
          <w:szCs w:val="24"/>
        </w:rPr>
        <w:t xml:space="preserve"> sintetizar con gran eficiencia la multiplicidad de los sistemas electorales y aportar ejemplos de casos empíricos muy variados. En este último aspecto, los autores demuestran un conocimiento enciclopédico sobre fórmulas, divisores y casos de sistemas elec</w:t>
      </w:r>
      <w:r>
        <w:rPr>
          <w:rFonts w:eastAsia="Times New Roman"/>
          <w:sz w:val="24"/>
          <w:szCs w:val="24"/>
        </w:rPr>
        <w:t>torales en el mundo. Es política comparada en su sentido más genuino.</w:t>
      </w:r>
    </w:p>
    <w:p w14:paraId="7840CF53" w14:textId="77777777" w:rsidR="00436232" w:rsidRDefault="00436232">
      <w:pPr>
        <w:spacing w:line="149" w:lineRule="exact"/>
        <w:rPr>
          <w:sz w:val="20"/>
          <w:szCs w:val="20"/>
        </w:rPr>
      </w:pPr>
    </w:p>
    <w:p w14:paraId="7840CF54" w14:textId="77777777" w:rsidR="00436232" w:rsidRDefault="005A140D">
      <w:pPr>
        <w:spacing w:line="218" w:lineRule="auto"/>
        <w:ind w:left="820" w:right="1680"/>
        <w:jc w:val="both"/>
        <w:rPr>
          <w:sz w:val="20"/>
          <w:szCs w:val="20"/>
        </w:rPr>
      </w:pPr>
      <w:r>
        <w:rPr>
          <w:rFonts w:eastAsia="Times New Roman"/>
          <w:sz w:val="21"/>
          <w:szCs w:val="21"/>
        </w:rPr>
        <w:t xml:space="preserve">Los capítulos del 7 al 10 forman la columna vertebral del libro. Habiendo ya introducido la terminología, los autores postulan los modelos teóricos que les permiten predecir el sistema </w:t>
      </w:r>
      <w:r>
        <w:rPr>
          <w:rFonts w:eastAsia="Times New Roman"/>
          <w:sz w:val="21"/>
          <w:szCs w:val="21"/>
        </w:rPr>
        <w:t xml:space="preserve">partidario basándose en dos aspectos claves del sistema electoral: el tamaño de la asamblea legislativa (cámara baja) que denotan con </w:t>
      </w:r>
      <w:r>
        <w:rPr>
          <w:rFonts w:eastAsia="Times New Roman"/>
          <w:i/>
          <w:iCs/>
          <w:sz w:val="21"/>
          <w:szCs w:val="21"/>
        </w:rPr>
        <w:t>S</w:t>
      </w:r>
      <w:r>
        <w:rPr>
          <w:rFonts w:eastAsia="Times New Roman"/>
          <w:sz w:val="21"/>
          <w:szCs w:val="21"/>
        </w:rPr>
        <w:t xml:space="preserve"> y el tamaño de la circunscripción electoral, es decir, el número de escaños disponibles, abreviado como </w:t>
      </w:r>
      <w:r>
        <w:rPr>
          <w:rFonts w:eastAsia="Times New Roman"/>
          <w:i/>
          <w:iCs/>
          <w:sz w:val="21"/>
          <w:szCs w:val="21"/>
        </w:rPr>
        <w:t>M</w:t>
      </w:r>
      <w:r>
        <w:rPr>
          <w:rFonts w:eastAsia="Times New Roman"/>
          <w:sz w:val="21"/>
          <w:szCs w:val="21"/>
        </w:rPr>
        <w:t>. La ambición de Shugart y Taagepera es explicar el máximo posible con el mínimo número de variables; en otras palabras, ofrecer un modelo parsimonios</w:t>
      </w:r>
      <w:r>
        <w:rPr>
          <w:rFonts w:eastAsia="Times New Roman"/>
          <w:sz w:val="21"/>
          <w:szCs w:val="21"/>
        </w:rPr>
        <w:t>o. Por ejemplo, para predecir el número de partidos (</w:t>
      </w:r>
      <w:r>
        <w:rPr>
          <w:rFonts w:eastAsia="Times New Roman"/>
          <w:i/>
          <w:iCs/>
          <w:sz w:val="21"/>
          <w:szCs w:val="21"/>
        </w:rPr>
        <w:t>N</w:t>
      </w:r>
      <w:r>
        <w:rPr>
          <w:rFonts w:eastAsia="Times New Roman"/>
          <w:sz w:val="21"/>
          <w:szCs w:val="21"/>
        </w:rPr>
        <w:t xml:space="preserve">) que obtienen escaños en una determinada circunscripción, proponen la fórmula </w:t>
      </w:r>
      <w:r>
        <w:rPr>
          <w:rFonts w:ascii="Cambria Math" w:eastAsia="Cambria Math" w:hAnsi="Cambria Math" w:cs="Cambria Math"/>
          <w:sz w:val="19"/>
          <w:szCs w:val="19"/>
        </w:rPr>
        <w:t xml:space="preserve">= </w:t>
      </w:r>
      <w:r>
        <w:rPr>
          <w:rFonts w:ascii="Cambria Math" w:eastAsia="Cambria Math" w:hAnsi="Cambria Math" w:cs="Cambria Math"/>
          <w:sz w:val="27"/>
          <w:szCs w:val="27"/>
          <w:vertAlign w:val="superscript"/>
        </w:rPr>
        <w:t>$.&amp;</w:t>
      </w:r>
      <w:r>
        <w:rPr>
          <w:rFonts w:eastAsia="Times New Roman"/>
          <w:sz w:val="21"/>
          <w:szCs w:val="21"/>
        </w:rPr>
        <w:t>, en otras palabras, la raíz cuadrada del número de escaños disponibles.</w:t>
      </w:r>
      <w:r>
        <w:rPr>
          <w:rFonts w:ascii="Cambria Math" w:eastAsia="Cambria Math" w:hAnsi="Cambria Math" w:cs="Cambria Math"/>
          <w:sz w:val="19"/>
          <w:szCs w:val="19"/>
        </w:rPr>
        <w:t xml:space="preserve"> </w:t>
      </w:r>
      <w:r>
        <w:rPr>
          <w:rFonts w:eastAsia="Times New Roman"/>
          <w:sz w:val="21"/>
          <w:szCs w:val="21"/>
        </w:rPr>
        <w:t xml:space="preserve">Esta cantidad se deriva de pensar cuáles son </w:t>
      </w:r>
      <w:r>
        <w:rPr>
          <w:rFonts w:eastAsia="Times New Roman"/>
          <w:sz w:val="21"/>
          <w:szCs w:val="21"/>
        </w:rPr>
        <w:t>los límites lógicos del número de partidos ganadores. Por una parte, no puede ser mayor al número de escaños disponibles (</w:t>
      </w:r>
      <w:r>
        <w:rPr>
          <w:rFonts w:eastAsia="Times New Roman"/>
          <w:i/>
          <w:iCs/>
          <w:sz w:val="21"/>
          <w:szCs w:val="21"/>
        </w:rPr>
        <w:t>M</w:t>
      </w:r>
      <w:r>
        <w:rPr>
          <w:rFonts w:eastAsia="Times New Roman"/>
          <w:sz w:val="21"/>
          <w:szCs w:val="21"/>
        </w:rPr>
        <w:t>). Por la otra, no puede ser menor a 1 (al menos un partido tiene que ganar). Ante la incertidumbre sobre la cantidad exacta, propone</w:t>
      </w:r>
      <w:r>
        <w:rPr>
          <w:rFonts w:eastAsia="Times New Roman"/>
          <w:sz w:val="21"/>
          <w:szCs w:val="21"/>
        </w:rPr>
        <w:t xml:space="preserve">n calcular la </w:t>
      </w:r>
      <w:r>
        <w:rPr>
          <w:rFonts w:eastAsia="Times New Roman"/>
          <w:i/>
          <w:iCs/>
          <w:sz w:val="21"/>
          <w:szCs w:val="21"/>
        </w:rPr>
        <w:t>media geométrica</w:t>
      </w:r>
      <w:r>
        <w:rPr>
          <w:rFonts w:eastAsia="Times New Roman"/>
          <w:sz w:val="27"/>
          <w:szCs w:val="27"/>
          <w:vertAlign w:val="superscript"/>
        </w:rPr>
        <w:t>1</w:t>
      </w:r>
      <w:r>
        <w:rPr>
          <w:rFonts w:eastAsia="Times New Roman"/>
          <w:i/>
          <w:iCs/>
          <w:sz w:val="21"/>
          <w:szCs w:val="21"/>
        </w:rPr>
        <w:t xml:space="preserve"> </w:t>
      </w:r>
      <w:r>
        <w:rPr>
          <w:rFonts w:eastAsia="Times New Roman"/>
          <w:sz w:val="21"/>
          <w:szCs w:val="21"/>
        </w:rPr>
        <w:t>de ambos límites, 1 y</w:t>
      </w:r>
      <w:r>
        <w:rPr>
          <w:rFonts w:eastAsia="Times New Roman"/>
          <w:i/>
          <w:iCs/>
          <w:sz w:val="21"/>
          <w:szCs w:val="21"/>
        </w:rPr>
        <w:t xml:space="preserve"> M</w:t>
      </w:r>
      <w:r>
        <w:rPr>
          <w:rFonts w:eastAsia="Times New Roman"/>
          <w:sz w:val="21"/>
          <w:szCs w:val="21"/>
        </w:rPr>
        <w:t>, es decir,</w:t>
      </w:r>
    </w:p>
    <w:p w14:paraId="7840CF55" w14:textId="77777777" w:rsidR="00436232" w:rsidRDefault="005A140D">
      <w:pPr>
        <w:tabs>
          <w:tab w:val="left" w:pos="280"/>
          <w:tab w:val="left" w:pos="240"/>
        </w:tabs>
        <w:spacing w:line="209" w:lineRule="auto"/>
        <w:ind w:right="840"/>
        <w:jc w:val="center"/>
        <w:rPr>
          <w:sz w:val="20"/>
          <w:szCs w:val="20"/>
        </w:rPr>
      </w:pPr>
      <w:r>
        <w:rPr>
          <w:rFonts w:ascii="Cambria Math" w:eastAsia="Cambria Math" w:hAnsi="Cambria Math" w:cs="Cambria Math"/>
          <w:sz w:val="13"/>
          <w:szCs w:val="13"/>
        </w:rPr>
        <w:t>=√1∗</w:t>
      </w:r>
      <w:r>
        <w:rPr>
          <w:sz w:val="20"/>
          <w:szCs w:val="20"/>
        </w:rPr>
        <w:tab/>
      </w:r>
      <w:r>
        <w:rPr>
          <w:rFonts w:ascii="Cambria Math" w:eastAsia="Cambria Math" w:hAnsi="Cambria Math" w:cs="Cambria Math"/>
          <w:sz w:val="13"/>
          <w:szCs w:val="13"/>
        </w:rPr>
        <w:t>=√  =</w:t>
      </w:r>
      <w:r>
        <w:rPr>
          <w:sz w:val="20"/>
          <w:szCs w:val="20"/>
        </w:rPr>
        <w:tab/>
      </w:r>
      <w:r>
        <w:rPr>
          <w:rFonts w:ascii="Cambria Math" w:eastAsia="Cambria Math" w:hAnsi="Cambria Math" w:cs="Cambria Math"/>
          <w:sz w:val="12"/>
          <w:szCs w:val="12"/>
          <w:vertAlign w:val="superscript"/>
        </w:rPr>
        <w:t>$.&amp;</w:t>
      </w:r>
      <w:r>
        <w:rPr>
          <w:rFonts w:ascii="Cambria Math" w:eastAsia="Cambria Math" w:hAnsi="Cambria Math" w:cs="Cambria Math"/>
          <w:sz w:val="10"/>
          <w:szCs w:val="10"/>
        </w:rPr>
        <w:t>.</w:t>
      </w:r>
    </w:p>
    <w:p w14:paraId="7840CF56" w14:textId="77777777" w:rsidR="00436232" w:rsidRDefault="005A140D">
      <w:pPr>
        <w:spacing w:line="20" w:lineRule="exact"/>
        <w:rPr>
          <w:sz w:val="20"/>
          <w:szCs w:val="20"/>
        </w:rPr>
      </w:pPr>
      <w:r>
        <w:rPr>
          <w:noProof/>
          <w:sz w:val="20"/>
          <w:szCs w:val="20"/>
        </w:rPr>
        <mc:AlternateContent>
          <mc:Choice Requires="wps">
            <w:drawing>
              <wp:anchor distT="0" distB="0" distL="114300" distR="114300" simplePos="0" relativeHeight="251656704" behindDoc="1" locked="0" layoutInCell="0" allowOverlap="1" wp14:anchorId="7840CFC9" wp14:editId="7840CFCA">
                <wp:simplePos x="0" y="0"/>
                <wp:positionH relativeFrom="column">
                  <wp:posOffset>2560320</wp:posOffset>
                </wp:positionH>
                <wp:positionV relativeFrom="paragraph">
                  <wp:posOffset>-285115</wp:posOffset>
                </wp:positionV>
                <wp:extent cx="328930" cy="0"/>
                <wp:effectExtent l="0" t="0" r="0" b="0"/>
                <wp:wrapNone/>
                <wp:docPr id="1" name="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28930" cy="4763"/>
                        </a:xfrm>
                        <a:prstGeom prst="line">
                          <a:avLst/>
                        </a:prstGeom>
                        <a:solidFill>
                          <a:srgbClr val="FFFFFF"/>
                        </a:solidFill>
                        <a:ln w="9144">
                          <a:solidFill>
                            <a:srgbClr val="000000"/>
                          </a:solidFill>
                          <a:miter lim="800000"/>
                          <a:headEnd/>
                          <a:tailEnd/>
                        </a:ln>
                      </wps:spPr>
                      <wps:bodyPr/>
                    </wps:wsp>
                  </a:graphicData>
                </a:graphic>
              </wp:anchor>
            </w:drawing>
          </mc:Choice>
          <mc:Fallback>
            <w:pict>
              <v:line w14:anchorId="3CD1E7BD" id="Shape 1" o:spid="_x0000_s1026" style="position:absolute;z-index:-251659776;visibility:visible;mso-wrap-style:square;mso-wrap-distance-left:9pt;mso-wrap-distance-top:0;mso-wrap-distance-right:9pt;mso-wrap-distance-bottom:0;mso-position-horizontal:absolute;mso-position-horizontal-relative:text;mso-position-vertical:absolute;mso-position-vertical-relative:text" from="201.6pt,-22.45pt" to="227.5pt,-2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" o:allowincell="f" filled="t" strokeweight=".72pt">
                <v:stroke joinstyle="miter"/>
                <o:lock v:ext="edit" shapetype="f"/>
              </v:line>
            </w:pict>
          </mc:Fallback>
        </mc:AlternateContent>
      </w:r>
      <w:r>
        <w:rPr>
          <w:noProof/>
          <w:sz w:val="20"/>
          <w:szCs w:val="20"/>
        </w:rPr>
        <mc:AlternateContent>
          <mc:Choice Requires="wps">
            <w:drawing>
              <wp:anchor distT="0" distB="0" distL="114300" distR="114300" simplePos="0" relativeHeight="251657728" behindDoc="1" locked="0" layoutInCell="0" allowOverlap="1" wp14:anchorId="7840CFCB" wp14:editId="7840CFCC">
                <wp:simplePos x="0" y="0"/>
                <wp:positionH relativeFrom="column">
                  <wp:posOffset>3160395</wp:posOffset>
                </wp:positionH>
                <wp:positionV relativeFrom="paragraph">
                  <wp:posOffset>-281940</wp:posOffset>
                </wp:positionV>
                <wp:extent cx="121920" cy="0"/>
                <wp:effectExtent l="0" t="0" r="0" b="0"/>
                <wp:wrapNone/>
                <wp:docPr id="2" name="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1920" cy="4763"/>
                        </a:xfrm>
                        <a:prstGeom prst="line">
                          <a:avLst/>
                        </a:prstGeom>
                        <a:solidFill>
                          <a:srgbClr val="FFFFFF"/>
                        </a:solidFill>
                        <a:ln w="9144">
                          <a:solidFill>
                            <a:srgbClr val="000000"/>
                          </a:solidFill>
                          <a:miter lim="800000"/>
                          <a:headEnd/>
                          <a:tailEnd/>
                        </a:ln>
                      </wps:spPr>
                      <wps:bodyPr/>
                    </wps:wsp>
                  </a:graphicData>
                </a:graphic>
              </wp:anchor>
            </w:drawing>
          </mc:Choice>
          <mc:Fallback>
            <w:pict>
              <v:line w14:anchorId="65406CAB" id="Shape 2" o:spid="_x0000_s1026" style="position:absolute;z-index:-251658752;visibility:visible;mso-wrap-style:square;mso-wrap-distance-left:9pt;mso-wrap-distance-top:0;mso-wrap-distance-right:9pt;mso-wrap-distance-bottom:0;mso-position-horizontal:absolute;mso-position-horizontal-relative:text;mso-position-vertical:absolute;mso-position-vertical-relative:text" from="248.85pt,-22.2pt" to="258.45pt,-2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" o:allowincell="f" filled="t" strokeweight=".72pt">
                <v:stroke joinstyle="miter"/>
                <o:lock v:ext="edit" shapetype="f"/>
              </v:line>
            </w:pict>
          </mc:Fallback>
        </mc:AlternateContent>
      </w:r>
    </w:p>
    <w:p w14:paraId="7840CF57" w14:textId="77777777" w:rsidR="00436232" w:rsidRDefault="005A140D">
      <w:pPr>
        <w:spacing w:line="195" w:lineRule="auto"/>
        <w:ind w:left="820" w:right="1680"/>
        <w:jc w:val="both"/>
        <w:rPr>
          <w:sz w:val="20"/>
          <w:szCs w:val="20"/>
        </w:rPr>
      </w:pPr>
      <w:r>
        <w:rPr>
          <w:rFonts w:eastAsia="Times New Roman"/>
          <w:sz w:val="20"/>
          <w:szCs w:val="20"/>
        </w:rPr>
        <w:t xml:space="preserve">Siguiendo la lógica deductiva, Shugart y Taagepera desarrollan modelos lógicos cuantitativos a partir del producto </w:t>
      </w:r>
      <w:r>
        <w:rPr>
          <w:rFonts w:ascii="Cambria Math" w:eastAsia="Cambria Math" w:hAnsi="Cambria Math" w:cs="Cambria Math"/>
          <w:sz w:val="19"/>
          <w:szCs w:val="19"/>
        </w:rPr>
        <w:t>∗</w:t>
      </w:r>
      <w:r>
        <w:rPr>
          <w:rFonts w:eastAsia="Times New Roman"/>
          <w:sz w:val="20"/>
          <w:szCs w:val="20"/>
        </w:rPr>
        <w:t xml:space="preserve"> para predecir el número de partidos ganadores nacionales, el número </w:t>
      </w:r>
      <w:r>
        <w:rPr>
          <w:rFonts w:eastAsia="Times New Roman"/>
          <w:i/>
          <w:iCs/>
          <w:sz w:val="20"/>
          <w:szCs w:val="20"/>
        </w:rPr>
        <w:t>efectivo</w:t>
      </w:r>
      <w:r>
        <w:rPr>
          <w:rFonts w:eastAsia="Times New Roman"/>
          <w:sz w:val="20"/>
          <w:szCs w:val="20"/>
        </w:rPr>
        <w:t xml:space="preserve"> de partidos ganadores,</w:t>
      </w:r>
      <w:r>
        <w:rPr>
          <w:rFonts w:eastAsia="Times New Roman"/>
          <w:sz w:val="26"/>
          <w:szCs w:val="26"/>
          <w:vertAlign w:val="superscript"/>
        </w:rPr>
        <w:t>2</w:t>
      </w:r>
      <w:r>
        <w:rPr>
          <w:rFonts w:eastAsia="Times New Roman"/>
          <w:sz w:val="20"/>
          <w:szCs w:val="20"/>
        </w:rPr>
        <w:t xml:space="preserve"> la proporción de votos del partido ganador e incluso la duración de gabinetes en sistemas parlamentarios. Las fórmulas pueden parecer intrincadas a primera vista, sin embargo, la exposición es clara, aunque los autores fallan al no distinguir</w:t>
      </w:r>
    </w:p>
    <w:p w14:paraId="7840CF58" w14:textId="77777777" w:rsidR="00436232" w:rsidRDefault="005A140D">
      <w:pPr>
        <w:spacing w:line="20" w:lineRule="exact"/>
        <w:rPr>
          <w:sz w:val="20"/>
          <w:szCs w:val="20"/>
        </w:rPr>
      </w:pPr>
      <w:r>
        <w:rPr>
          <w:noProof/>
          <w:sz w:val="20"/>
          <w:szCs w:val="20"/>
        </w:rPr>
        <mc:AlternateContent>
          <mc:Choice Requires="wps">
            <w:drawing>
              <wp:anchor distT="0" distB="0" distL="114300" distR="114300" simplePos="0" relativeHeight="251658752" behindDoc="1" locked="0" layoutInCell="0" allowOverlap="1" wp14:anchorId="7840CFCD" wp14:editId="7840CFCE">
                <wp:simplePos x="0" y="0"/>
                <wp:positionH relativeFrom="column">
                  <wp:posOffset>523875</wp:posOffset>
                </wp:positionH>
                <wp:positionV relativeFrom="paragraph">
                  <wp:posOffset>387350</wp:posOffset>
                </wp:positionV>
                <wp:extent cx="1828800" cy="0"/>
                <wp:effectExtent l="0" t="0" r="0" b="0"/>
                <wp:wrapNone/>
                <wp:docPr id="3" name="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28800" cy="4763"/>
                        </a:xfrm>
                        <a:prstGeom prst="line">
                          <a:avLst/>
                        </a:prstGeom>
                        <a:solidFill>
                          <a:srgbClr val="FFFFFF"/>
                        </a:solidFill>
                        <a:ln w="9144">
                          <a:solidFill>
                            <a:srgbClr val="000000"/>
                          </a:solidFill>
                          <a:miter lim="800000"/>
                          <a:headEnd/>
                          <a:tailEnd/>
                        </a:ln>
                      </wps:spPr>
                      <wps:bodyPr/>
                    </wps:wsp>
                  </a:graphicData>
                </a:graphic>
              </wp:anchor>
            </w:drawing>
          </mc:Choice>
          <mc:Fallback>
            <w:pict>
              <v:line w14:anchorId="104FAC25" id="Shape 3" o:spid="_x0000_s1026" style="position:absolute;z-index:-251657728;visibility:visible;mso-wrap-style:square;mso-wrap-distance-left:9pt;mso-wrap-distance-top:0;mso-wrap-distance-right:9pt;mso-wrap-distance-bottom:0;mso-position-horizontal:absolute;mso-position-horizontal-relative:text;mso-position-vertical:absolute;mso-position-vertical-relative:text" from="41.25pt,30.5pt" to="185.2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" o:allowincell="f" filled="t" strokeweight=".72pt">
                <v:stroke joinstyle="miter"/>
                <o:lock v:ext="edit" shapetype="f"/>
              </v:line>
            </w:pict>
          </mc:Fallback>
        </mc:AlternateContent>
      </w:r>
    </w:p>
    <w:p w14:paraId="7840CF59" w14:textId="77777777" w:rsidR="00436232" w:rsidRDefault="00436232">
      <w:pPr>
        <w:spacing w:line="200" w:lineRule="exact"/>
        <w:rPr>
          <w:sz w:val="20"/>
          <w:szCs w:val="20"/>
        </w:rPr>
      </w:pPr>
    </w:p>
    <w:p w14:paraId="7840CF5A" w14:textId="77777777" w:rsidR="00436232" w:rsidRDefault="00436232">
      <w:pPr>
        <w:spacing w:line="200" w:lineRule="exact"/>
        <w:rPr>
          <w:sz w:val="20"/>
          <w:szCs w:val="20"/>
        </w:rPr>
      </w:pPr>
    </w:p>
    <w:p w14:paraId="7840CF5B" w14:textId="77777777" w:rsidR="00436232" w:rsidRDefault="00436232">
      <w:pPr>
        <w:spacing w:line="288" w:lineRule="exact"/>
        <w:rPr>
          <w:sz w:val="20"/>
          <w:szCs w:val="20"/>
        </w:rPr>
      </w:pPr>
    </w:p>
    <w:p w14:paraId="7840CF5C" w14:textId="77777777" w:rsidR="00436232" w:rsidRDefault="005A140D">
      <w:pPr>
        <w:numPr>
          <w:ilvl w:val="0"/>
          <w:numId w:val="1"/>
        </w:numPr>
        <w:tabs>
          <w:tab w:val="left" w:pos="939"/>
        </w:tabs>
        <w:spacing w:line="227" w:lineRule="auto"/>
        <w:ind w:left="820" w:right="1660" w:firstLine="6"/>
        <w:jc w:val="both"/>
        <w:rPr>
          <w:rFonts w:eastAsia="Times New Roman"/>
          <w:sz w:val="26"/>
          <w:szCs w:val="26"/>
          <w:vertAlign w:val="superscript"/>
        </w:rPr>
      </w:pPr>
      <w:r>
        <w:rPr>
          <w:rFonts w:eastAsia="Times New Roman"/>
          <w:sz w:val="20"/>
          <w:szCs w:val="20"/>
        </w:rPr>
        <w:t>A difer</w:t>
      </w:r>
      <w:r>
        <w:rPr>
          <w:rFonts w:eastAsia="Times New Roman"/>
          <w:sz w:val="20"/>
          <w:szCs w:val="20"/>
        </w:rPr>
        <w:t xml:space="preserve">encia de la media aritmética, que suma las </w:t>
      </w:r>
      <w:r>
        <w:rPr>
          <w:rFonts w:eastAsia="Times New Roman"/>
          <w:i/>
          <w:iCs/>
          <w:sz w:val="20"/>
          <w:szCs w:val="20"/>
        </w:rPr>
        <w:t>n</w:t>
      </w:r>
      <w:r>
        <w:rPr>
          <w:rFonts w:eastAsia="Times New Roman"/>
          <w:sz w:val="20"/>
          <w:szCs w:val="20"/>
        </w:rPr>
        <w:t xml:space="preserve"> observaciones y las divide entre el número </w:t>
      </w:r>
      <w:r>
        <w:rPr>
          <w:rFonts w:eastAsia="Times New Roman"/>
          <w:i/>
          <w:iCs/>
          <w:sz w:val="20"/>
          <w:szCs w:val="20"/>
        </w:rPr>
        <w:t xml:space="preserve">n </w:t>
      </w:r>
      <w:r>
        <w:rPr>
          <w:rFonts w:eastAsia="Times New Roman"/>
          <w:sz w:val="20"/>
          <w:szCs w:val="20"/>
        </w:rPr>
        <w:t>de casos, la media geométrica multiplica las</w:t>
      </w:r>
      <w:r>
        <w:rPr>
          <w:rFonts w:eastAsia="Times New Roman"/>
          <w:i/>
          <w:iCs/>
          <w:sz w:val="20"/>
          <w:szCs w:val="20"/>
        </w:rPr>
        <w:t xml:space="preserve"> n </w:t>
      </w:r>
      <w:r>
        <w:rPr>
          <w:rFonts w:eastAsia="Times New Roman"/>
          <w:sz w:val="20"/>
          <w:szCs w:val="20"/>
        </w:rPr>
        <w:t>observaciones y calcula la raíz</w:t>
      </w:r>
      <w:r>
        <w:rPr>
          <w:rFonts w:eastAsia="Times New Roman"/>
          <w:i/>
          <w:iCs/>
          <w:sz w:val="20"/>
          <w:szCs w:val="20"/>
        </w:rPr>
        <w:t xml:space="preserve"> n-</w:t>
      </w:r>
      <w:r>
        <w:rPr>
          <w:rFonts w:eastAsia="Times New Roman"/>
          <w:sz w:val="20"/>
          <w:szCs w:val="20"/>
        </w:rPr>
        <w:t>ésima del</w:t>
      </w:r>
      <w:r>
        <w:rPr>
          <w:rFonts w:eastAsia="Times New Roman"/>
          <w:i/>
          <w:iCs/>
          <w:sz w:val="20"/>
          <w:szCs w:val="20"/>
        </w:rPr>
        <w:t xml:space="preserve"> </w:t>
      </w:r>
      <w:r>
        <w:rPr>
          <w:rFonts w:eastAsia="Times New Roman"/>
          <w:sz w:val="20"/>
          <w:szCs w:val="20"/>
        </w:rPr>
        <w:t>producto.</w:t>
      </w:r>
    </w:p>
    <w:p w14:paraId="7840CF5D" w14:textId="77777777" w:rsidR="00436232" w:rsidRDefault="00436232">
      <w:pPr>
        <w:spacing w:line="1" w:lineRule="exact"/>
        <w:rPr>
          <w:rFonts w:eastAsia="Times New Roman"/>
          <w:sz w:val="26"/>
          <w:szCs w:val="26"/>
          <w:vertAlign w:val="superscript"/>
        </w:rPr>
      </w:pPr>
    </w:p>
    <w:p w14:paraId="7840CF5E" w14:textId="77777777" w:rsidR="00436232" w:rsidRDefault="005A140D">
      <w:pPr>
        <w:spacing w:line="228" w:lineRule="auto"/>
        <w:ind w:left="820" w:right="1660"/>
        <w:jc w:val="both"/>
        <w:rPr>
          <w:rFonts w:eastAsia="Times New Roman"/>
          <w:sz w:val="26"/>
          <w:szCs w:val="26"/>
          <w:vertAlign w:val="superscript"/>
        </w:rPr>
      </w:pPr>
      <w:r>
        <w:rPr>
          <w:rFonts w:eastAsia="Times New Roman"/>
          <w:sz w:val="25"/>
          <w:szCs w:val="25"/>
          <w:vertAlign w:val="superscript"/>
        </w:rPr>
        <w:t>2</w:t>
      </w:r>
      <w:r>
        <w:rPr>
          <w:rFonts w:eastAsia="Times New Roman"/>
          <w:sz w:val="20"/>
          <w:szCs w:val="20"/>
        </w:rPr>
        <w:t xml:space="preserve"> Por número efectivo de partidos se entiende un conteo ponderad</w:t>
      </w:r>
      <w:r>
        <w:rPr>
          <w:rFonts w:eastAsia="Times New Roman"/>
          <w:sz w:val="20"/>
          <w:szCs w:val="20"/>
        </w:rPr>
        <w:t>o de partidos políticos según su relevancia electoral o legislativa. La fórmula más aceptada para calcular el número efectivo de partidos fue propuesta por el mismo Taagepera junto con Markku Laakso (Laakso y Taagepera, 1979).</w:t>
      </w:r>
    </w:p>
    <w:p w14:paraId="7840CF5F" w14:textId="77777777" w:rsidR="00436232" w:rsidRDefault="00436232">
      <w:pPr>
        <w:spacing w:line="292" w:lineRule="exact"/>
        <w:rPr>
          <w:sz w:val="20"/>
          <w:szCs w:val="20"/>
        </w:rPr>
      </w:pPr>
    </w:p>
    <w:tbl>
      <w:tblPr>
        <w:tblW w:w="0" w:type="auto"/>
        <w:tblInd w:w="1720" w:type="dxa"/>
        <w:tblLayout w:type="fixed"/>
        <w:tblCellMar>
          <w:left w:w="0" w:type="dxa"/>
          <w:right w:w="0" w:type="dxa"/>
        </w:tblCellMar>
        <w:tblLook w:val="04A0" w:firstRow="1" w:lastRow="0" w:firstColumn="1" w:lastColumn="0" w:noHBand="0" w:noVBand="1"/>
      </w:tblPr>
      <w:tblGrid>
        <w:gridCol w:w="6980"/>
        <w:gridCol w:w="1500"/>
        <w:gridCol w:w="20"/>
      </w:tblGrid>
      <w:tr w:rsidR="00436232" w14:paraId="7840CF63" w14:textId="77777777">
        <w:trPr>
          <w:trHeight w:val="240"/>
        </w:trPr>
        <w:tc>
          <w:tcPr>
            <w:tcW w:w="6980" w:type="dxa"/>
            <w:vAlign w:val="bottom"/>
          </w:tcPr>
          <w:p w14:paraId="7840CF60" w14:textId="77777777" w:rsidR="00436232" w:rsidRDefault="005A140D">
            <w:pPr>
              <w:ind w:right="1019"/>
              <w:jc w:val="center"/>
              <w:rPr>
                <w:sz w:val="20"/>
                <w:szCs w:val="20"/>
              </w:rPr>
            </w:pPr>
            <w:r>
              <w:rPr>
                <w:rFonts w:ascii="Arial" w:eastAsia="Arial" w:hAnsi="Arial" w:cs="Arial"/>
                <w:w w:val="97"/>
                <w:sz w:val="20"/>
                <w:szCs w:val="20"/>
              </w:rPr>
              <w:t>Anuario del Centro de Invest</w:t>
            </w:r>
            <w:r>
              <w:rPr>
                <w:rFonts w:ascii="Arial" w:eastAsia="Arial" w:hAnsi="Arial" w:cs="Arial"/>
                <w:w w:val="97"/>
                <w:sz w:val="20"/>
                <w:szCs w:val="20"/>
              </w:rPr>
              <w:t>igación y Estudios Políticos</w:t>
            </w:r>
          </w:p>
        </w:tc>
        <w:tc>
          <w:tcPr>
            <w:tcW w:w="1500" w:type="dxa"/>
            <w:vMerge w:val="restart"/>
            <w:vAlign w:val="bottom"/>
          </w:tcPr>
          <w:p w14:paraId="7840CF61" w14:textId="77777777" w:rsidR="00436232" w:rsidRDefault="005A140D">
            <w:pPr>
              <w:jc w:val="right"/>
              <w:rPr>
                <w:sz w:val="20"/>
                <w:szCs w:val="20"/>
              </w:rPr>
            </w:pPr>
            <w:r>
              <w:rPr>
                <w:rFonts w:ascii="Arial" w:eastAsia="Arial" w:hAnsi="Arial" w:cs="Arial"/>
              </w:rPr>
              <w:t>142</w:t>
            </w:r>
          </w:p>
        </w:tc>
        <w:tc>
          <w:tcPr>
            <w:tcW w:w="0" w:type="dxa"/>
            <w:vAlign w:val="bottom"/>
          </w:tcPr>
          <w:p w14:paraId="7840CF62" w14:textId="77777777" w:rsidR="00436232" w:rsidRDefault="00436232">
            <w:pPr>
              <w:rPr>
                <w:sz w:val="1"/>
                <w:szCs w:val="1"/>
              </w:rPr>
            </w:pPr>
          </w:p>
        </w:tc>
      </w:tr>
      <w:tr w:rsidR="00436232" w14:paraId="7840CF67" w14:textId="77777777">
        <w:trPr>
          <w:trHeight w:val="260"/>
        </w:trPr>
        <w:tc>
          <w:tcPr>
            <w:tcW w:w="6980" w:type="dxa"/>
            <w:vAlign w:val="bottom"/>
          </w:tcPr>
          <w:p w14:paraId="7840CF64" w14:textId="77777777" w:rsidR="00436232" w:rsidRDefault="005A140D">
            <w:pPr>
              <w:ind w:right="1019"/>
              <w:jc w:val="center"/>
              <w:rPr>
                <w:sz w:val="20"/>
                <w:szCs w:val="20"/>
              </w:rPr>
            </w:pPr>
            <w:r>
              <w:rPr>
                <w:rFonts w:ascii="Arial" w:eastAsia="Arial" w:hAnsi="Arial" w:cs="Arial"/>
                <w:sz w:val="20"/>
                <w:szCs w:val="20"/>
              </w:rPr>
              <w:t>Universidad de Costa Rica, 10: 141-144, 2019 ISSN: 2215-2873</w:t>
            </w:r>
          </w:p>
        </w:tc>
        <w:tc>
          <w:tcPr>
            <w:tcW w:w="1500" w:type="dxa"/>
            <w:vMerge/>
            <w:vAlign w:val="bottom"/>
          </w:tcPr>
          <w:p w14:paraId="7840CF65" w14:textId="77777777" w:rsidR="00436232" w:rsidRDefault="00436232"/>
        </w:tc>
        <w:tc>
          <w:tcPr>
            <w:tcW w:w="0" w:type="dxa"/>
            <w:vAlign w:val="bottom"/>
          </w:tcPr>
          <w:p w14:paraId="7840CF66" w14:textId="77777777" w:rsidR="00436232" w:rsidRDefault="00436232">
            <w:pPr>
              <w:rPr>
                <w:sz w:val="1"/>
                <w:szCs w:val="1"/>
              </w:rPr>
            </w:pPr>
          </w:p>
        </w:tc>
      </w:tr>
    </w:tbl>
    <w:p w14:paraId="7840CF68" w14:textId="77777777" w:rsidR="00436232" w:rsidRDefault="00436232">
      <w:pPr>
        <w:sectPr w:rsidR="00436232">
          <w:pgSz w:w="12240" w:h="15840"/>
          <w:pgMar w:top="724" w:right="600" w:bottom="131" w:left="1440" w:header="0" w:footer="0" w:gutter="0"/>
          <w:cols w:space="720" w:equalWidth="0">
            <w:col w:w="10200"/>
          </w:cols>
        </w:sectPr>
      </w:pPr>
    </w:p>
    <w:p w14:paraId="7840CF69" w14:textId="77777777" w:rsidR="00436232" w:rsidRPr="00C514C3" w:rsidRDefault="005A140D">
      <w:pPr>
        <w:ind w:left="2400"/>
        <w:rPr>
          <w:sz w:val="20"/>
          <w:szCs w:val="20"/>
          <w:lang w:val="en-US"/>
        </w:rPr>
      </w:pPr>
      <w:bookmarkStart w:id="2" w:name="page3"/>
      <w:bookmarkEnd w:id="2"/>
      <w:r w:rsidRPr="00C514C3">
        <w:rPr>
          <w:rFonts w:ascii="Arial" w:eastAsia="Arial" w:hAnsi="Arial" w:cs="Arial"/>
          <w:sz w:val="20"/>
          <w:szCs w:val="20"/>
          <w:lang w:val="en-US"/>
        </w:rPr>
        <w:lastRenderedPageBreak/>
        <w:t>Votes from seats. Logical models of electoral systems</w:t>
      </w:r>
    </w:p>
    <w:p w14:paraId="7840CF6A" w14:textId="77777777" w:rsidR="00436232" w:rsidRPr="00C514C3" w:rsidRDefault="00436232">
      <w:pPr>
        <w:spacing w:line="321" w:lineRule="exact"/>
        <w:rPr>
          <w:sz w:val="20"/>
          <w:szCs w:val="20"/>
          <w:lang w:val="en-US"/>
        </w:rPr>
      </w:pPr>
    </w:p>
    <w:p w14:paraId="7840CF6B" w14:textId="77777777" w:rsidR="00436232" w:rsidRDefault="005A140D">
      <w:pPr>
        <w:spacing w:line="184" w:lineRule="auto"/>
        <w:ind w:left="820" w:right="1800"/>
        <w:jc w:val="both"/>
        <w:rPr>
          <w:sz w:val="20"/>
          <w:szCs w:val="20"/>
        </w:rPr>
      </w:pPr>
      <w:r>
        <w:rPr>
          <w:rFonts w:eastAsia="Times New Roman"/>
          <w:sz w:val="19"/>
          <w:szCs w:val="19"/>
        </w:rPr>
        <w:t xml:space="preserve">simbólicamente el tamaño de cada distrito y el tamaño promedio a nivel nacional (habiéndose podido diferenciar con un subíndice y con la barra superior, </w:t>
      </w:r>
      <w:r>
        <w:rPr>
          <w:rFonts w:ascii="Cambria Math" w:eastAsia="Cambria Math" w:hAnsi="Cambria Math" w:cs="Cambria Math"/>
          <w:sz w:val="23"/>
          <w:szCs w:val="23"/>
          <w:vertAlign w:val="subscript"/>
        </w:rPr>
        <w:t>+</w:t>
      </w:r>
      <w:r>
        <w:rPr>
          <w:rFonts w:eastAsia="Times New Roman"/>
          <w:sz w:val="19"/>
          <w:szCs w:val="19"/>
        </w:rPr>
        <w:t xml:space="preserve"> </w:t>
      </w:r>
      <w:proofErr w:type="gramStart"/>
      <w:r>
        <w:rPr>
          <w:rFonts w:eastAsia="Times New Roman"/>
          <w:sz w:val="19"/>
          <w:szCs w:val="19"/>
        </w:rPr>
        <w:t xml:space="preserve">y </w:t>
      </w:r>
      <w:r>
        <w:rPr>
          <w:rFonts w:ascii="Cambria Math" w:eastAsia="Cambria Math" w:hAnsi="Cambria Math" w:cs="Cambria Math"/>
          <w:sz w:val="31"/>
          <w:szCs w:val="31"/>
          <w:vertAlign w:val="superscript"/>
        </w:rPr>
        <w:t>,</w:t>
      </w:r>
      <w:proofErr w:type="gramEnd"/>
      <w:r>
        <w:rPr>
          <w:rFonts w:eastAsia="Times New Roman"/>
          <w:sz w:val="19"/>
          <w:szCs w:val="19"/>
        </w:rPr>
        <w:t>). La precisión de los modelos predictivos se evalúa por gráficos y análisis de regresión. Es aquí</w:t>
      </w:r>
      <w:r>
        <w:rPr>
          <w:rFonts w:eastAsia="Times New Roman"/>
          <w:sz w:val="19"/>
          <w:szCs w:val="19"/>
        </w:rPr>
        <w:t xml:space="preserve"> donde entra la valoración cualitativa de qué tan buenos son los resultados. Por ejemplo, para la fórmula </w:t>
      </w:r>
      <w:r>
        <w:rPr>
          <w:rFonts w:ascii="Cambria Math" w:eastAsia="Cambria Math" w:hAnsi="Cambria Math" w:cs="Cambria Math"/>
          <w:sz w:val="18"/>
          <w:szCs w:val="18"/>
        </w:rPr>
        <w:t>=</w:t>
      </w:r>
      <w:r>
        <w:rPr>
          <w:rFonts w:eastAsia="Times New Roman"/>
          <w:sz w:val="19"/>
          <w:szCs w:val="19"/>
        </w:rPr>
        <w:t xml:space="preserve"> </w:t>
      </w:r>
      <w:r>
        <w:rPr>
          <w:rFonts w:ascii="Cambria Math" w:eastAsia="Cambria Math" w:hAnsi="Cambria Math" w:cs="Cambria Math"/>
          <w:sz w:val="23"/>
          <w:szCs w:val="23"/>
          <w:vertAlign w:val="superscript"/>
        </w:rPr>
        <w:t>$.&amp;</w:t>
      </w:r>
      <w:r>
        <w:rPr>
          <w:rFonts w:eastAsia="Times New Roman"/>
          <w:sz w:val="19"/>
          <w:szCs w:val="19"/>
        </w:rPr>
        <w:t xml:space="preserve"> la bondad de ajuste es de un impresionante 95%. Para otros casos, la precisión disminuye. Como los propios autores confiesan, existen aspectos n</w:t>
      </w:r>
      <w:r>
        <w:rPr>
          <w:rFonts w:eastAsia="Times New Roman"/>
          <w:sz w:val="19"/>
          <w:szCs w:val="19"/>
        </w:rPr>
        <w:t>o institucionales que influyen en los resultados políticos. Sin embargo, en franca controversia con Clark y Golder (2006), argumentan que incluir variables como la fragmentación social no mejora sustancialmente la predicción. Para Shugart y Taagepera la ex</w:t>
      </w:r>
      <w:r>
        <w:rPr>
          <w:rFonts w:eastAsia="Times New Roman"/>
          <w:sz w:val="19"/>
          <w:szCs w:val="19"/>
        </w:rPr>
        <w:t>plicación institucionalista impera.</w:t>
      </w:r>
    </w:p>
    <w:p w14:paraId="7840CF6C" w14:textId="77777777" w:rsidR="00436232" w:rsidRDefault="00436232">
      <w:pPr>
        <w:spacing w:line="154" w:lineRule="exact"/>
        <w:rPr>
          <w:sz w:val="20"/>
          <w:szCs w:val="20"/>
        </w:rPr>
      </w:pPr>
    </w:p>
    <w:p w14:paraId="7840CF6D" w14:textId="77777777" w:rsidR="00436232" w:rsidRDefault="005A140D">
      <w:pPr>
        <w:spacing w:line="243" w:lineRule="auto"/>
        <w:ind w:left="820" w:right="1800"/>
        <w:jc w:val="both"/>
        <w:rPr>
          <w:sz w:val="20"/>
          <w:szCs w:val="20"/>
        </w:rPr>
      </w:pPr>
      <w:r>
        <w:rPr>
          <w:rFonts w:eastAsia="Times New Roman"/>
          <w:sz w:val="24"/>
          <w:szCs w:val="24"/>
        </w:rPr>
        <w:t xml:space="preserve">Los capítulos del 11 al 14 profundizan las relaciones entre las elecciones presidenciales y legislativas, el ciclo electoral y las dimensiones de competencia </w:t>
      </w:r>
      <w:r>
        <w:rPr>
          <w:rFonts w:eastAsia="Times New Roman"/>
          <w:i/>
          <w:iCs/>
          <w:sz w:val="24"/>
          <w:szCs w:val="24"/>
        </w:rPr>
        <w:t xml:space="preserve">intra </w:t>
      </w:r>
      <w:r>
        <w:rPr>
          <w:rFonts w:eastAsia="Times New Roman"/>
          <w:sz w:val="24"/>
          <w:szCs w:val="24"/>
        </w:rPr>
        <w:t>partidaria. En estas páginas se extiende el trabajo previo de David Samuels</w:t>
      </w:r>
      <w:r>
        <w:rPr>
          <w:rFonts w:eastAsia="Times New Roman"/>
          <w:i/>
          <w:iCs/>
          <w:sz w:val="24"/>
          <w:szCs w:val="24"/>
        </w:rPr>
        <w:t xml:space="preserve"> </w:t>
      </w:r>
      <w:r>
        <w:rPr>
          <w:rFonts w:eastAsia="Times New Roman"/>
          <w:sz w:val="24"/>
          <w:szCs w:val="24"/>
        </w:rPr>
        <w:t>con Shugart (201</w:t>
      </w:r>
      <w:r>
        <w:rPr>
          <w:rFonts w:eastAsia="Times New Roman"/>
          <w:sz w:val="24"/>
          <w:szCs w:val="24"/>
        </w:rPr>
        <w:t xml:space="preserve">0) sobre diseños constitucionales y el impacto en los partidos políticos. En los capítulos 15 y 16 los autores se sumergen en sistemas electorales más complejos, como aquellos que combinan fórmulas proporcionales y mayoritarias (sistemas mixtos) y los que </w:t>
      </w:r>
      <w:r>
        <w:rPr>
          <w:rFonts w:eastAsia="Times New Roman"/>
          <w:sz w:val="24"/>
          <w:szCs w:val="24"/>
        </w:rPr>
        <w:t>incluyen selección ordinal de candidaturas (</w:t>
      </w:r>
      <w:r>
        <w:rPr>
          <w:rFonts w:eastAsia="Times New Roman"/>
          <w:i/>
          <w:iCs/>
          <w:sz w:val="24"/>
          <w:szCs w:val="24"/>
        </w:rPr>
        <w:t>ranked-choice ballots</w:t>
      </w:r>
      <w:r>
        <w:rPr>
          <w:rFonts w:eastAsia="Times New Roman"/>
          <w:sz w:val="24"/>
          <w:szCs w:val="24"/>
        </w:rPr>
        <w:t>). Se esperaría que los modelos, habiendo sido diseñados para sistemas electorales simples, resulten menos precisos en los países con sistemas complejos. En efecto lo son, aunque las predicci</w:t>
      </w:r>
      <w:r>
        <w:rPr>
          <w:rFonts w:eastAsia="Times New Roman"/>
          <w:sz w:val="24"/>
          <w:szCs w:val="24"/>
        </w:rPr>
        <w:t>ones no resultan completamente descartables. Por lo tanto, incluso en sistemas no simples, la propuesta de Shugart y Taagepera es fructífera.</w:t>
      </w:r>
    </w:p>
    <w:p w14:paraId="7840CF6E" w14:textId="77777777" w:rsidR="00436232" w:rsidRDefault="00436232">
      <w:pPr>
        <w:spacing w:line="160" w:lineRule="exact"/>
        <w:rPr>
          <w:sz w:val="20"/>
          <w:szCs w:val="20"/>
        </w:rPr>
      </w:pPr>
    </w:p>
    <w:p w14:paraId="7840CF6F" w14:textId="77777777" w:rsidR="00436232" w:rsidRDefault="005A140D">
      <w:pPr>
        <w:spacing w:line="243" w:lineRule="auto"/>
        <w:ind w:left="820" w:right="1800"/>
        <w:jc w:val="both"/>
        <w:rPr>
          <w:sz w:val="20"/>
          <w:szCs w:val="20"/>
        </w:rPr>
      </w:pPr>
      <w:r>
        <w:rPr>
          <w:rFonts w:eastAsia="Times New Roman"/>
          <w:sz w:val="24"/>
          <w:szCs w:val="24"/>
        </w:rPr>
        <w:t xml:space="preserve">Finalmente, en el capítulo 17, los autores concluyen enfatizando el potencial de su enfoque metodológico, basado </w:t>
      </w:r>
      <w:r>
        <w:rPr>
          <w:rFonts w:eastAsia="Times New Roman"/>
          <w:sz w:val="24"/>
          <w:szCs w:val="24"/>
        </w:rPr>
        <w:t>en modelos lógicos cuantitativos pensados antes de estimarse, para el estudio no solo de los sistemas electorales sino también para otras áreas de la ciencia política. Al respecto, incluso si se acepta la visión epistemológica positivista de los autores (a</w:t>
      </w:r>
      <w:r>
        <w:rPr>
          <w:rFonts w:eastAsia="Times New Roman"/>
          <w:sz w:val="24"/>
          <w:szCs w:val="24"/>
        </w:rPr>
        <w:t>lgo que no todas las personas comparten), queda en duda cuán aplicable es este enfoque en objetos de estudio con variables de más difícil medición, en comparación con los votos. Las instituciones ofrecen límites lógicos (como los mínimos y máximos de parti</w:t>
      </w:r>
      <w:r>
        <w:rPr>
          <w:rFonts w:eastAsia="Times New Roman"/>
          <w:sz w:val="24"/>
          <w:szCs w:val="24"/>
        </w:rPr>
        <w:t xml:space="preserve">dos ganadores) que son indeterminables en otros ámbitos. No obstante, en el estudio de los sistemas electorales, sería un retroceso ignorar una obra con el alcance y la innovación que provee </w:t>
      </w:r>
      <w:r>
        <w:rPr>
          <w:rFonts w:eastAsia="Times New Roman"/>
          <w:i/>
          <w:iCs/>
          <w:sz w:val="24"/>
          <w:szCs w:val="24"/>
        </w:rPr>
        <w:t>Votes from Seats</w:t>
      </w:r>
      <w:r>
        <w:rPr>
          <w:rFonts w:eastAsia="Times New Roman"/>
          <w:sz w:val="24"/>
          <w:szCs w:val="24"/>
        </w:rPr>
        <w:t>.</w:t>
      </w:r>
    </w:p>
    <w:p w14:paraId="7840CF70" w14:textId="77777777" w:rsidR="00436232" w:rsidRDefault="00436232">
      <w:pPr>
        <w:spacing w:line="200" w:lineRule="exact"/>
        <w:rPr>
          <w:sz w:val="20"/>
          <w:szCs w:val="20"/>
        </w:rPr>
      </w:pPr>
    </w:p>
    <w:p w14:paraId="7840CF71" w14:textId="77777777" w:rsidR="00436232" w:rsidRDefault="00436232">
      <w:pPr>
        <w:spacing w:line="200" w:lineRule="exact"/>
        <w:rPr>
          <w:sz w:val="20"/>
          <w:szCs w:val="20"/>
        </w:rPr>
      </w:pPr>
    </w:p>
    <w:p w14:paraId="7840CF72" w14:textId="77777777" w:rsidR="00436232" w:rsidRDefault="00436232">
      <w:pPr>
        <w:spacing w:line="310" w:lineRule="exact"/>
        <w:rPr>
          <w:sz w:val="20"/>
          <w:szCs w:val="20"/>
        </w:rPr>
      </w:pPr>
    </w:p>
    <w:p w14:paraId="7840CF73" w14:textId="77777777" w:rsidR="00436232" w:rsidRDefault="005A140D">
      <w:pPr>
        <w:ind w:right="1800"/>
        <w:jc w:val="right"/>
        <w:rPr>
          <w:sz w:val="20"/>
          <w:szCs w:val="20"/>
        </w:rPr>
      </w:pPr>
      <w:r>
        <w:rPr>
          <w:rFonts w:eastAsia="Times New Roman"/>
          <w:b/>
          <w:bCs/>
          <w:sz w:val="24"/>
          <w:szCs w:val="24"/>
        </w:rPr>
        <w:t>Adrián Pignataro</w:t>
      </w:r>
    </w:p>
    <w:p w14:paraId="7840CF74" w14:textId="77777777" w:rsidR="00436232" w:rsidRDefault="00436232">
      <w:pPr>
        <w:spacing w:line="36" w:lineRule="exact"/>
        <w:rPr>
          <w:sz w:val="20"/>
          <w:szCs w:val="20"/>
        </w:rPr>
      </w:pPr>
    </w:p>
    <w:p w14:paraId="7840CF75" w14:textId="77777777" w:rsidR="00436232" w:rsidRDefault="005A140D">
      <w:pPr>
        <w:ind w:right="1800"/>
        <w:jc w:val="right"/>
        <w:rPr>
          <w:sz w:val="20"/>
          <w:szCs w:val="20"/>
        </w:rPr>
      </w:pPr>
      <w:r>
        <w:rPr>
          <w:rFonts w:eastAsia="Times New Roman"/>
          <w:sz w:val="24"/>
          <w:szCs w:val="24"/>
        </w:rPr>
        <w:t>adrian.pignataro@ucr.ac.cr</w:t>
      </w:r>
    </w:p>
    <w:p w14:paraId="7840CF76" w14:textId="77777777" w:rsidR="00436232" w:rsidRDefault="005A140D">
      <w:pPr>
        <w:ind w:right="1800"/>
        <w:jc w:val="right"/>
        <w:rPr>
          <w:sz w:val="20"/>
          <w:szCs w:val="20"/>
        </w:rPr>
      </w:pPr>
      <w:r>
        <w:rPr>
          <w:rFonts w:eastAsia="Times New Roman"/>
          <w:sz w:val="24"/>
          <w:szCs w:val="24"/>
        </w:rPr>
        <w:t>Costarricense. Profesor de la Escuela de</w:t>
      </w:r>
    </w:p>
    <w:p w14:paraId="7840CF77" w14:textId="77777777" w:rsidR="00436232" w:rsidRDefault="005A140D">
      <w:pPr>
        <w:ind w:right="1800"/>
        <w:jc w:val="right"/>
        <w:rPr>
          <w:sz w:val="20"/>
          <w:szCs w:val="20"/>
        </w:rPr>
      </w:pPr>
      <w:r>
        <w:rPr>
          <w:rFonts w:eastAsia="Times New Roman"/>
          <w:sz w:val="24"/>
          <w:szCs w:val="24"/>
        </w:rPr>
        <w:t>Ciencias Políticas de la Universidad de</w:t>
      </w:r>
    </w:p>
    <w:p w14:paraId="7840CF78" w14:textId="77777777" w:rsidR="00436232" w:rsidRDefault="00436232">
      <w:pPr>
        <w:spacing w:line="2" w:lineRule="exact"/>
        <w:rPr>
          <w:sz w:val="20"/>
          <w:szCs w:val="20"/>
        </w:rPr>
      </w:pPr>
    </w:p>
    <w:p w14:paraId="7840CF79" w14:textId="77777777" w:rsidR="00436232" w:rsidRDefault="005A140D">
      <w:pPr>
        <w:ind w:right="1800"/>
        <w:jc w:val="right"/>
        <w:rPr>
          <w:sz w:val="20"/>
          <w:szCs w:val="20"/>
        </w:rPr>
      </w:pPr>
      <w:r>
        <w:rPr>
          <w:rFonts w:eastAsia="Times New Roman"/>
          <w:sz w:val="24"/>
          <w:szCs w:val="24"/>
        </w:rPr>
        <w:t>San José, Costa Rica.</w:t>
      </w:r>
    </w:p>
    <w:p w14:paraId="7840CF7A" w14:textId="77777777" w:rsidR="00436232" w:rsidRDefault="00436232">
      <w:pPr>
        <w:spacing w:line="200" w:lineRule="exact"/>
        <w:rPr>
          <w:sz w:val="20"/>
          <w:szCs w:val="20"/>
        </w:rPr>
      </w:pPr>
    </w:p>
    <w:p w14:paraId="7840CF7B" w14:textId="77777777" w:rsidR="00436232" w:rsidRDefault="00436232">
      <w:pPr>
        <w:spacing w:line="200" w:lineRule="exact"/>
        <w:rPr>
          <w:sz w:val="20"/>
          <w:szCs w:val="20"/>
        </w:rPr>
      </w:pPr>
    </w:p>
    <w:p w14:paraId="7840CF7C" w14:textId="77777777" w:rsidR="00436232" w:rsidRDefault="00436232">
      <w:pPr>
        <w:spacing w:line="200" w:lineRule="exact"/>
        <w:rPr>
          <w:sz w:val="20"/>
          <w:szCs w:val="20"/>
        </w:rPr>
      </w:pPr>
    </w:p>
    <w:p w14:paraId="7840CF7D" w14:textId="77777777" w:rsidR="00436232" w:rsidRDefault="00436232">
      <w:pPr>
        <w:spacing w:line="200" w:lineRule="exact"/>
        <w:rPr>
          <w:sz w:val="20"/>
          <w:szCs w:val="20"/>
        </w:rPr>
      </w:pPr>
    </w:p>
    <w:p w14:paraId="7840CF7E" w14:textId="77777777" w:rsidR="00436232" w:rsidRDefault="00436232">
      <w:pPr>
        <w:spacing w:line="205" w:lineRule="exact"/>
        <w:rPr>
          <w:sz w:val="20"/>
          <w:szCs w:val="20"/>
        </w:rPr>
      </w:pPr>
    </w:p>
    <w:p w14:paraId="7840CF7F" w14:textId="77777777" w:rsidR="00436232" w:rsidRDefault="005A140D">
      <w:pPr>
        <w:ind w:left="2280"/>
        <w:rPr>
          <w:sz w:val="20"/>
          <w:szCs w:val="20"/>
        </w:rPr>
      </w:pPr>
      <w:r>
        <w:rPr>
          <w:rFonts w:ascii="Arial" w:eastAsia="Arial" w:hAnsi="Arial" w:cs="Arial"/>
          <w:sz w:val="20"/>
          <w:szCs w:val="20"/>
        </w:rPr>
        <w:t>Anuario del Centro de Investigación y Estudios Políticos</w:t>
      </w:r>
    </w:p>
    <w:tbl>
      <w:tblPr>
        <w:tblW w:w="0" w:type="auto"/>
        <w:tblInd w:w="1760" w:type="dxa"/>
        <w:tblLayout w:type="fixed"/>
        <w:tblCellMar>
          <w:left w:w="0" w:type="dxa"/>
          <w:right w:w="0" w:type="dxa"/>
        </w:tblCellMar>
        <w:tblLook w:val="04A0" w:firstRow="1" w:lastRow="0" w:firstColumn="1" w:lastColumn="0" w:noHBand="0" w:noVBand="1"/>
      </w:tblPr>
      <w:tblGrid>
        <w:gridCol w:w="7020"/>
        <w:gridCol w:w="1540"/>
        <w:gridCol w:w="20"/>
      </w:tblGrid>
      <w:tr w:rsidR="00436232" w14:paraId="7840CF83" w14:textId="77777777">
        <w:trPr>
          <w:trHeight w:val="224"/>
        </w:trPr>
        <w:tc>
          <w:tcPr>
            <w:tcW w:w="7020" w:type="dxa"/>
            <w:vMerge w:val="restart"/>
            <w:vAlign w:val="bottom"/>
          </w:tcPr>
          <w:p w14:paraId="7840CF80" w14:textId="77777777" w:rsidR="00436232" w:rsidRDefault="005A140D">
            <w:pPr>
              <w:rPr>
                <w:sz w:val="20"/>
                <w:szCs w:val="20"/>
              </w:rPr>
            </w:pPr>
            <w:r>
              <w:rPr>
                <w:rFonts w:ascii="Arial" w:eastAsia="Arial" w:hAnsi="Arial" w:cs="Arial"/>
                <w:sz w:val="20"/>
                <w:szCs w:val="20"/>
              </w:rPr>
              <w:t>Universidad de Costa Rica, 10: 141-144, 2019 ISSN: 2215-2873</w:t>
            </w:r>
          </w:p>
        </w:tc>
        <w:tc>
          <w:tcPr>
            <w:tcW w:w="1540" w:type="dxa"/>
            <w:vAlign w:val="bottom"/>
          </w:tcPr>
          <w:p w14:paraId="7840CF81" w14:textId="77777777" w:rsidR="00436232" w:rsidRDefault="005A140D">
            <w:pPr>
              <w:spacing w:line="224" w:lineRule="exact"/>
              <w:jc w:val="right"/>
              <w:rPr>
                <w:sz w:val="20"/>
                <w:szCs w:val="20"/>
              </w:rPr>
            </w:pPr>
            <w:r>
              <w:rPr>
                <w:rFonts w:ascii="Arial" w:eastAsia="Arial" w:hAnsi="Arial" w:cs="Arial"/>
                <w:color w:val="3C3C3B"/>
              </w:rPr>
              <w:t>143</w:t>
            </w:r>
          </w:p>
        </w:tc>
        <w:tc>
          <w:tcPr>
            <w:tcW w:w="0" w:type="dxa"/>
            <w:vAlign w:val="bottom"/>
          </w:tcPr>
          <w:p w14:paraId="7840CF82" w14:textId="77777777" w:rsidR="00436232" w:rsidRDefault="00436232">
            <w:pPr>
              <w:rPr>
                <w:sz w:val="1"/>
                <w:szCs w:val="1"/>
              </w:rPr>
            </w:pPr>
          </w:p>
        </w:tc>
      </w:tr>
      <w:tr w:rsidR="00436232" w14:paraId="7840CF87" w14:textId="77777777">
        <w:trPr>
          <w:trHeight w:val="58"/>
        </w:trPr>
        <w:tc>
          <w:tcPr>
            <w:tcW w:w="7020" w:type="dxa"/>
            <w:vMerge/>
            <w:vAlign w:val="bottom"/>
          </w:tcPr>
          <w:p w14:paraId="7840CF84" w14:textId="77777777" w:rsidR="00436232" w:rsidRDefault="00436232">
            <w:pPr>
              <w:rPr>
                <w:sz w:val="5"/>
                <w:szCs w:val="5"/>
              </w:rPr>
            </w:pPr>
          </w:p>
        </w:tc>
        <w:tc>
          <w:tcPr>
            <w:tcW w:w="1540" w:type="dxa"/>
            <w:vAlign w:val="bottom"/>
          </w:tcPr>
          <w:p w14:paraId="7840CF85" w14:textId="77777777" w:rsidR="00436232" w:rsidRDefault="00436232">
            <w:pPr>
              <w:rPr>
                <w:sz w:val="5"/>
                <w:szCs w:val="5"/>
              </w:rPr>
            </w:pPr>
          </w:p>
        </w:tc>
        <w:tc>
          <w:tcPr>
            <w:tcW w:w="0" w:type="dxa"/>
            <w:vAlign w:val="bottom"/>
          </w:tcPr>
          <w:p w14:paraId="7840CF86" w14:textId="77777777" w:rsidR="00436232" w:rsidRDefault="00436232">
            <w:pPr>
              <w:rPr>
                <w:sz w:val="1"/>
                <w:szCs w:val="1"/>
              </w:rPr>
            </w:pPr>
          </w:p>
        </w:tc>
      </w:tr>
    </w:tbl>
    <w:p w14:paraId="7840CF88" w14:textId="77777777" w:rsidR="00436232" w:rsidRDefault="00436232">
      <w:pPr>
        <w:sectPr w:rsidR="00436232">
          <w:pgSz w:w="12240" w:h="15840"/>
          <w:pgMar w:top="724" w:right="480" w:bottom="131" w:left="1440" w:header="0" w:footer="0" w:gutter="0"/>
          <w:cols w:space="720" w:equalWidth="0">
            <w:col w:w="10320"/>
          </w:cols>
        </w:sectPr>
      </w:pPr>
    </w:p>
    <w:p w14:paraId="7840CF89" w14:textId="77777777" w:rsidR="00436232" w:rsidRDefault="005A140D">
      <w:pPr>
        <w:ind w:left="3900"/>
        <w:rPr>
          <w:sz w:val="20"/>
          <w:szCs w:val="20"/>
        </w:rPr>
      </w:pPr>
      <w:bookmarkStart w:id="3" w:name="page4"/>
      <w:bookmarkEnd w:id="3"/>
      <w:r>
        <w:rPr>
          <w:rFonts w:ascii="Arial" w:eastAsia="Arial" w:hAnsi="Arial" w:cs="Arial"/>
          <w:sz w:val="20"/>
          <w:szCs w:val="20"/>
        </w:rPr>
        <w:lastRenderedPageBreak/>
        <w:t>Adrián Pignataro</w:t>
      </w:r>
    </w:p>
    <w:p w14:paraId="7840CF8A" w14:textId="77777777" w:rsidR="00436232" w:rsidRDefault="00436232">
      <w:pPr>
        <w:spacing w:line="200" w:lineRule="exact"/>
        <w:rPr>
          <w:sz w:val="20"/>
          <w:szCs w:val="20"/>
        </w:rPr>
      </w:pPr>
    </w:p>
    <w:p w14:paraId="7840CF8B" w14:textId="77777777" w:rsidR="00436232" w:rsidRDefault="00436232">
      <w:pPr>
        <w:spacing w:line="345" w:lineRule="exact"/>
        <w:rPr>
          <w:sz w:val="20"/>
          <w:szCs w:val="20"/>
        </w:rPr>
      </w:pPr>
    </w:p>
    <w:p w14:paraId="7840CF8C" w14:textId="77777777" w:rsidR="00436232" w:rsidRDefault="005A140D">
      <w:pPr>
        <w:ind w:left="820"/>
        <w:rPr>
          <w:sz w:val="20"/>
          <w:szCs w:val="20"/>
        </w:rPr>
      </w:pPr>
      <w:r>
        <w:rPr>
          <w:rFonts w:ascii="Arial" w:eastAsia="Arial" w:hAnsi="Arial" w:cs="Arial"/>
          <w:b/>
          <w:bCs/>
          <w:sz w:val="24"/>
          <w:szCs w:val="24"/>
        </w:rPr>
        <w:t>FUENTES CONSULTADAS</w:t>
      </w:r>
    </w:p>
    <w:p w14:paraId="7840CF8D" w14:textId="77777777" w:rsidR="00436232" w:rsidRDefault="00436232">
      <w:pPr>
        <w:spacing w:line="190" w:lineRule="exact"/>
        <w:rPr>
          <w:sz w:val="20"/>
          <w:szCs w:val="20"/>
        </w:rPr>
      </w:pPr>
    </w:p>
    <w:p w14:paraId="7840CF8E" w14:textId="77777777" w:rsidR="00436232" w:rsidRPr="00C514C3" w:rsidRDefault="005A140D">
      <w:pPr>
        <w:spacing w:line="261" w:lineRule="auto"/>
        <w:ind w:left="1400" w:right="1680" w:hanging="708"/>
        <w:jc w:val="both"/>
        <w:rPr>
          <w:sz w:val="20"/>
          <w:szCs w:val="20"/>
          <w:lang w:val="en-US"/>
        </w:rPr>
      </w:pPr>
      <w:r w:rsidRPr="00C514C3">
        <w:rPr>
          <w:rFonts w:eastAsia="Times New Roman"/>
          <w:sz w:val="24"/>
          <w:szCs w:val="24"/>
          <w:lang w:val="en-US"/>
        </w:rPr>
        <w:t xml:space="preserve">Clark, W. R. y Golder, M. (2006). Rehabilitating Duverger’s Theory. Testing the Mechanical and Strategic Modifying Effects of Electoral Laws. Comparative Political Studies 39 (6), </w:t>
      </w:r>
      <w:r w:rsidRPr="00C514C3">
        <w:rPr>
          <w:rFonts w:eastAsia="Times New Roman"/>
          <w:sz w:val="24"/>
          <w:szCs w:val="24"/>
          <w:lang w:val="en-US"/>
        </w:rPr>
        <w:t>679-708.</w:t>
      </w:r>
    </w:p>
    <w:p w14:paraId="7840CF8F" w14:textId="77777777" w:rsidR="00436232" w:rsidRPr="00C514C3" w:rsidRDefault="00436232">
      <w:pPr>
        <w:spacing w:line="127" w:lineRule="exact"/>
        <w:rPr>
          <w:sz w:val="20"/>
          <w:szCs w:val="20"/>
          <w:lang w:val="en-US"/>
        </w:rPr>
      </w:pPr>
    </w:p>
    <w:p w14:paraId="7840CF90" w14:textId="77777777" w:rsidR="00436232" w:rsidRPr="00C514C3" w:rsidRDefault="005A140D">
      <w:pPr>
        <w:spacing w:line="280" w:lineRule="auto"/>
        <w:ind w:left="1400" w:right="1680" w:hanging="708"/>
        <w:jc w:val="both"/>
        <w:rPr>
          <w:sz w:val="20"/>
          <w:szCs w:val="20"/>
          <w:lang w:val="en-US"/>
        </w:rPr>
      </w:pPr>
      <w:proofErr w:type="spellStart"/>
      <w:r w:rsidRPr="00C514C3">
        <w:rPr>
          <w:rFonts w:eastAsia="Times New Roman"/>
          <w:sz w:val="24"/>
          <w:szCs w:val="24"/>
          <w:lang w:val="en-US"/>
        </w:rPr>
        <w:t>Laakso</w:t>
      </w:r>
      <w:proofErr w:type="spellEnd"/>
      <w:r w:rsidRPr="00C514C3">
        <w:rPr>
          <w:rFonts w:eastAsia="Times New Roman"/>
          <w:sz w:val="24"/>
          <w:szCs w:val="24"/>
          <w:lang w:val="en-US"/>
        </w:rPr>
        <w:t xml:space="preserve">, M. y </w:t>
      </w:r>
      <w:proofErr w:type="spellStart"/>
      <w:r w:rsidRPr="00C514C3">
        <w:rPr>
          <w:rFonts w:eastAsia="Times New Roman"/>
          <w:sz w:val="24"/>
          <w:szCs w:val="24"/>
          <w:lang w:val="en-US"/>
        </w:rPr>
        <w:t>Taagepera</w:t>
      </w:r>
      <w:proofErr w:type="spellEnd"/>
      <w:r w:rsidRPr="00C514C3">
        <w:rPr>
          <w:rFonts w:eastAsia="Times New Roman"/>
          <w:sz w:val="24"/>
          <w:szCs w:val="24"/>
          <w:lang w:val="en-US"/>
        </w:rPr>
        <w:t>, R. (1979). Effective Number of Parties: A Measure with application to West Europe. Comparative Political Studies 12, 3-27.</w:t>
      </w:r>
    </w:p>
    <w:p w14:paraId="7840CF91" w14:textId="77777777" w:rsidR="00436232" w:rsidRPr="00C514C3" w:rsidRDefault="00436232">
      <w:pPr>
        <w:spacing w:line="110" w:lineRule="exact"/>
        <w:rPr>
          <w:sz w:val="20"/>
          <w:szCs w:val="20"/>
          <w:lang w:val="en-US"/>
        </w:rPr>
      </w:pPr>
    </w:p>
    <w:p w14:paraId="7840CF92" w14:textId="77777777" w:rsidR="00436232" w:rsidRPr="00C514C3" w:rsidRDefault="005A140D">
      <w:pPr>
        <w:spacing w:line="261" w:lineRule="auto"/>
        <w:ind w:left="1400" w:right="1680" w:hanging="708"/>
        <w:jc w:val="both"/>
        <w:rPr>
          <w:sz w:val="20"/>
          <w:szCs w:val="20"/>
          <w:lang w:val="en-US"/>
        </w:rPr>
      </w:pPr>
      <w:r w:rsidRPr="00C514C3">
        <w:rPr>
          <w:rFonts w:eastAsia="Times New Roman"/>
          <w:sz w:val="24"/>
          <w:szCs w:val="24"/>
          <w:lang w:val="en-US"/>
        </w:rPr>
        <w:t>Riker, W. H. (1982). The Two -Party System and Duverger’s Law: An Essay on the History of Politica</w:t>
      </w:r>
      <w:r w:rsidRPr="00C514C3">
        <w:rPr>
          <w:rFonts w:eastAsia="Times New Roman"/>
          <w:sz w:val="24"/>
          <w:szCs w:val="24"/>
          <w:lang w:val="en-US"/>
        </w:rPr>
        <w:t>l Science. The American Political Science Review 76 (4), 753–766.</w:t>
      </w:r>
    </w:p>
    <w:p w14:paraId="7840CF93" w14:textId="77777777" w:rsidR="00436232" w:rsidRPr="00C514C3" w:rsidRDefault="00436232">
      <w:pPr>
        <w:spacing w:line="127" w:lineRule="exact"/>
        <w:rPr>
          <w:sz w:val="20"/>
          <w:szCs w:val="20"/>
          <w:lang w:val="en-US"/>
        </w:rPr>
      </w:pPr>
    </w:p>
    <w:p w14:paraId="7840CF94" w14:textId="77777777" w:rsidR="00436232" w:rsidRPr="00C514C3" w:rsidRDefault="005A140D">
      <w:pPr>
        <w:ind w:left="680"/>
        <w:rPr>
          <w:sz w:val="20"/>
          <w:szCs w:val="20"/>
          <w:lang w:val="en-US"/>
        </w:rPr>
      </w:pPr>
      <w:r w:rsidRPr="00C514C3">
        <w:rPr>
          <w:rFonts w:eastAsia="Times New Roman"/>
          <w:sz w:val="24"/>
          <w:szCs w:val="24"/>
          <w:lang w:val="en-US"/>
        </w:rPr>
        <w:t xml:space="preserve">Samuels, D. J. y Shugart, M. (2010). </w:t>
      </w:r>
      <w:r w:rsidRPr="00C514C3">
        <w:rPr>
          <w:rFonts w:eastAsia="Times New Roman"/>
          <w:i/>
          <w:iCs/>
          <w:sz w:val="24"/>
          <w:szCs w:val="24"/>
          <w:lang w:val="en-US"/>
        </w:rPr>
        <w:t>Presidents, Parties, and Prime Ministers.</w:t>
      </w:r>
    </w:p>
    <w:p w14:paraId="7840CF95" w14:textId="77777777" w:rsidR="00436232" w:rsidRPr="00C514C3" w:rsidRDefault="00436232">
      <w:pPr>
        <w:spacing w:line="32" w:lineRule="exact"/>
        <w:rPr>
          <w:sz w:val="20"/>
          <w:szCs w:val="20"/>
          <w:lang w:val="en-US"/>
        </w:rPr>
      </w:pPr>
    </w:p>
    <w:p w14:paraId="7840CF96" w14:textId="77777777" w:rsidR="00436232" w:rsidRPr="00C514C3" w:rsidRDefault="005A140D">
      <w:pPr>
        <w:ind w:left="1400"/>
        <w:rPr>
          <w:sz w:val="20"/>
          <w:szCs w:val="20"/>
          <w:lang w:val="en-US"/>
        </w:rPr>
      </w:pPr>
      <w:r w:rsidRPr="00C514C3">
        <w:rPr>
          <w:rFonts w:eastAsia="Times New Roman"/>
          <w:i/>
          <w:iCs/>
          <w:sz w:val="24"/>
          <w:szCs w:val="24"/>
          <w:lang w:val="en-US"/>
        </w:rPr>
        <w:t>How the Separation of Powers Affects Party Organization and Behavior</w:t>
      </w:r>
      <w:r w:rsidRPr="00C514C3">
        <w:rPr>
          <w:rFonts w:eastAsia="Times New Roman"/>
          <w:sz w:val="24"/>
          <w:szCs w:val="24"/>
          <w:lang w:val="en-US"/>
        </w:rPr>
        <w:t>.</w:t>
      </w:r>
    </w:p>
    <w:p w14:paraId="7840CF97" w14:textId="77777777" w:rsidR="00436232" w:rsidRPr="00C514C3" w:rsidRDefault="00436232">
      <w:pPr>
        <w:spacing w:line="7" w:lineRule="exact"/>
        <w:rPr>
          <w:sz w:val="20"/>
          <w:szCs w:val="20"/>
          <w:lang w:val="en-US"/>
        </w:rPr>
      </w:pPr>
    </w:p>
    <w:p w14:paraId="7840CF98" w14:textId="77777777" w:rsidR="00436232" w:rsidRDefault="005A140D">
      <w:pPr>
        <w:ind w:left="1400"/>
        <w:rPr>
          <w:sz w:val="20"/>
          <w:szCs w:val="20"/>
        </w:rPr>
      </w:pPr>
      <w:r>
        <w:rPr>
          <w:rFonts w:eastAsia="Times New Roman"/>
          <w:sz w:val="24"/>
          <w:szCs w:val="24"/>
        </w:rPr>
        <w:t xml:space="preserve">Nueva York, Estados Unidos: Cambridge </w:t>
      </w:r>
      <w:r>
        <w:rPr>
          <w:rFonts w:eastAsia="Times New Roman"/>
          <w:sz w:val="24"/>
          <w:szCs w:val="24"/>
        </w:rPr>
        <w:t>University Press.</w:t>
      </w:r>
    </w:p>
    <w:p w14:paraId="7840CF99" w14:textId="77777777" w:rsidR="00436232" w:rsidRDefault="00436232">
      <w:pPr>
        <w:spacing w:line="160" w:lineRule="exact"/>
        <w:rPr>
          <w:sz w:val="20"/>
          <w:szCs w:val="20"/>
        </w:rPr>
      </w:pPr>
    </w:p>
    <w:p w14:paraId="7840CF9A" w14:textId="77777777" w:rsidR="00436232" w:rsidRPr="00C514C3" w:rsidRDefault="005A140D">
      <w:pPr>
        <w:ind w:right="1000"/>
        <w:jc w:val="center"/>
        <w:rPr>
          <w:sz w:val="20"/>
          <w:szCs w:val="20"/>
          <w:lang w:val="en-US"/>
        </w:rPr>
      </w:pPr>
      <w:proofErr w:type="spellStart"/>
      <w:r w:rsidRPr="00C514C3">
        <w:rPr>
          <w:rFonts w:eastAsia="Times New Roman"/>
          <w:sz w:val="24"/>
          <w:szCs w:val="24"/>
          <w:lang w:val="en-US"/>
        </w:rPr>
        <w:t>Taagepera</w:t>
      </w:r>
      <w:proofErr w:type="spellEnd"/>
      <w:r w:rsidRPr="00C514C3">
        <w:rPr>
          <w:rFonts w:eastAsia="Times New Roman"/>
          <w:sz w:val="24"/>
          <w:szCs w:val="24"/>
          <w:lang w:val="en-US"/>
        </w:rPr>
        <w:t xml:space="preserve">, R. (2008). </w:t>
      </w:r>
      <w:r w:rsidRPr="00C514C3">
        <w:rPr>
          <w:rFonts w:eastAsia="Times New Roman"/>
          <w:i/>
          <w:iCs/>
          <w:sz w:val="24"/>
          <w:szCs w:val="24"/>
          <w:lang w:val="en-US"/>
        </w:rPr>
        <w:t>Making Social Sciences More Scientific: The Need for</w:t>
      </w:r>
    </w:p>
    <w:p w14:paraId="7840CF9B" w14:textId="77777777" w:rsidR="00436232" w:rsidRPr="00C514C3" w:rsidRDefault="00436232">
      <w:pPr>
        <w:spacing w:line="36" w:lineRule="exact"/>
        <w:rPr>
          <w:sz w:val="20"/>
          <w:szCs w:val="20"/>
          <w:lang w:val="en-US"/>
        </w:rPr>
      </w:pPr>
    </w:p>
    <w:p w14:paraId="7840CF9C" w14:textId="77777777" w:rsidR="00436232" w:rsidRPr="00C514C3" w:rsidRDefault="005A140D">
      <w:pPr>
        <w:ind w:right="980"/>
        <w:jc w:val="center"/>
        <w:rPr>
          <w:sz w:val="20"/>
          <w:szCs w:val="20"/>
          <w:lang w:val="en-US"/>
        </w:rPr>
      </w:pPr>
      <w:r w:rsidRPr="00C514C3">
        <w:rPr>
          <w:rFonts w:eastAsia="Times New Roman"/>
          <w:i/>
          <w:iCs/>
          <w:sz w:val="24"/>
          <w:szCs w:val="24"/>
          <w:lang w:val="en-US"/>
        </w:rPr>
        <w:t xml:space="preserve">Predictive Models. </w:t>
      </w:r>
      <w:r w:rsidRPr="00C514C3">
        <w:rPr>
          <w:rFonts w:eastAsia="Times New Roman"/>
          <w:sz w:val="24"/>
          <w:szCs w:val="24"/>
          <w:lang w:val="en-US"/>
        </w:rPr>
        <w:t xml:space="preserve">Oxford, </w:t>
      </w:r>
      <w:proofErr w:type="spellStart"/>
      <w:r w:rsidRPr="00C514C3">
        <w:rPr>
          <w:rFonts w:eastAsia="Times New Roman"/>
          <w:sz w:val="24"/>
          <w:szCs w:val="24"/>
          <w:lang w:val="en-US"/>
        </w:rPr>
        <w:t>Reino</w:t>
      </w:r>
      <w:proofErr w:type="spellEnd"/>
      <w:r w:rsidRPr="00C514C3">
        <w:rPr>
          <w:rFonts w:eastAsia="Times New Roman"/>
          <w:sz w:val="24"/>
          <w:szCs w:val="24"/>
          <w:lang w:val="en-US"/>
        </w:rPr>
        <w:t xml:space="preserve"> </w:t>
      </w:r>
      <w:proofErr w:type="spellStart"/>
      <w:r w:rsidRPr="00C514C3">
        <w:rPr>
          <w:rFonts w:eastAsia="Times New Roman"/>
          <w:sz w:val="24"/>
          <w:szCs w:val="24"/>
          <w:lang w:val="en-US"/>
        </w:rPr>
        <w:t>Unido</w:t>
      </w:r>
      <w:proofErr w:type="spellEnd"/>
      <w:r w:rsidRPr="00C514C3">
        <w:rPr>
          <w:rFonts w:eastAsia="Times New Roman"/>
          <w:sz w:val="24"/>
          <w:szCs w:val="24"/>
          <w:lang w:val="en-US"/>
        </w:rPr>
        <w:t>: Oxford University Press.</w:t>
      </w:r>
    </w:p>
    <w:p w14:paraId="7840CF9D" w14:textId="77777777" w:rsidR="00436232" w:rsidRPr="00C514C3" w:rsidRDefault="00436232">
      <w:pPr>
        <w:spacing w:line="165" w:lineRule="exact"/>
        <w:rPr>
          <w:sz w:val="20"/>
          <w:szCs w:val="20"/>
          <w:lang w:val="en-US"/>
        </w:rPr>
      </w:pPr>
    </w:p>
    <w:p w14:paraId="7840CF9E" w14:textId="77777777" w:rsidR="00436232" w:rsidRPr="00C514C3" w:rsidRDefault="005A140D">
      <w:pPr>
        <w:spacing w:line="268" w:lineRule="auto"/>
        <w:ind w:left="1400" w:right="1680" w:hanging="708"/>
        <w:jc w:val="both"/>
        <w:rPr>
          <w:sz w:val="20"/>
          <w:szCs w:val="20"/>
          <w:lang w:val="en-US"/>
        </w:rPr>
      </w:pPr>
      <w:proofErr w:type="spellStart"/>
      <w:r>
        <w:rPr>
          <w:rFonts w:eastAsia="Times New Roman"/>
          <w:sz w:val="24"/>
          <w:szCs w:val="24"/>
        </w:rPr>
        <w:t>Taagepera</w:t>
      </w:r>
      <w:proofErr w:type="spellEnd"/>
      <w:r>
        <w:rPr>
          <w:rFonts w:eastAsia="Times New Roman"/>
          <w:sz w:val="24"/>
          <w:szCs w:val="24"/>
        </w:rPr>
        <w:t>,</w:t>
      </w:r>
      <w:r>
        <w:rPr>
          <w:sz w:val="20"/>
          <w:szCs w:val="20"/>
        </w:rPr>
        <w:t xml:space="preserve"> </w:t>
      </w:r>
      <w:r>
        <w:rPr>
          <w:rFonts w:eastAsia="Times New Roman"/>
          <w:sz w:val="24"/>
          <w:szCs w:val="24"/>
        </w:rPr>
        <w:t xml:space="preserve">R., y Shugart, M (1989). </w:t>
      </w:r>
      <w:r w:rsidRPr="00C514C3">
        <w:rPr>
          <w:rFonts w:eastAsia="Times New Roman"/>
          <w:i/>
          <w:iCs/>
          <w:sz w:val="24"/>
          <w:szCs w:val="24"/>
          <w:lang w:val="en-US"/>
        </w:rPr>
        <w:t>Seats and Votes: The Effects and</w:t>
      </w:r>
      <w:r w:rsidRPr="00C514C3">
        <w:rPr>
          <w:rFonts w:eastAsia="Times New Roman"/>
          <w:sz w:val="24"/>
          <w:szCs w:val="24"/>
          <w:lang w:val="en-US"/>
        </w:rPr>
        <w:t xml:space="preserve"> </w:t>
      </w:r>
      <w:r w:rsidRPr="00C514C3">
        <w:rPr>
          <w:rFonts w:eastAsia="Times New Roman"/>
          <w:i/>
          <w:iCs/>
          <w:sz w:val="24"/>
          <w:szCs w:val="24"/>
          <w:lang w:val="en-US"/>
        </w:rPr>
        <w:t xml:space="preserve">Determinants of </w:t>
      </w:r>
      <w:r w:rsidRPr="00C514C3">
        <w:rPr>
          <w:rFonts w:eastAsia="Times New Roman"/>
          <w:i/>
          <w:iCs/>
          <w:sz w:val="24"/>
          <w:szCs w:val="24"/>
          <w:lang w:val="en-US"/>
        </w:rPr>
        <w:t>Electoral Systems</w:t>
      </w:r>
      <w:r w:rsidRPr="00C514C3">
        <w:rPr>
          <w:rFonts w:eastAsia="Times New Roman"/>
          <w:sz w:val="24"/>
          <w:szCs w:val="24"/>
          <w:lang w:val="en-US"/>
        </w:rPr>
        <w:t>. New Haven, Connecticut: Yale</w:t>
      </w:r>
      <w:r w:rsidRPr="00C514C3">
        <w:rPr>
          <w:rFonts w:eastAsia="Times New Roman"/>
          <w:i/>
          <w:iCs/>
          <w:sz w:val="24"/>
          <w:szCs w:val="24"/>
          <w:lang w:val="en-US"/>
        </w:rPr>
        <w:t xml:space="preserve"> </w:t>
      </w:r>
      <w:r w:rsidRPr="00C514C3">
        <w:rPr>
          <w:rFonts w:eastAsia="Times New Roman"/>
          <w:sz w:val="24"/>
          <w:szCs w:val="24"/>
          <w:lang w:val="en-US"/>
        </w:rPr>
        <w:t>University Press.</w:t>
      </w:r>
    </w:p>
    <w:p w14:paraId="7840CF9F" w14:textId="77777777" w:rsidR="00436232" w:rsidRPr="00C514C3" w:rsidRDefault="00436232">
      <w:pPr>
        <w:spacing w:line="200" w:lineRule="exact"/>
        <w:rPr>
          <w:sz w:val="20"/>
          <w:szCs w:val="20"/>
          <w:lang w:val="en-US"/>
        </w:rPr>
      </w:pPr>
    </w:p>
    <w:p w14:paraId="7840CFA0" w14:textId="77777777" w:rsidR="00436232" w:rsidRPr="00C514C3" w:rsidRDefault="00436232">
      <w:pPr>
        <w:spacing w:line="211" w:lineRule="exact"/>
        <w:rPr>
          <w:sz w:val="20"/>
          <w:szCs w:val="20"/>
          <w:lang w:val="en-US"/>
        </w:rPr>
      </w:pPr>
    </w:p>
    <w:p w14:paraId="7840CFA1" w14:textId="77777777" w:rsidR="00436232" w:rsidRDefault="005A140D">
      <w:pPr>
        <w:spacing w:line="261" w:lineRule="auto"/>
        <w:ind w:left="1400" w:right="1680" w:hanging="708"/>
        <w:jc w:val="both"/>
        <w:rPr>
          <w:sz w:val="20"/>
          <w:szCs w:val="20"/>
        </w:rPr>
      </w:pPr>
      <w:proofErr w:type="spellStart"/>
      <w:r w:rsidRPr="00C514C3">
        <w:rPr>
          <w:rFonts w:eastAsia="Times New Roman"/>
          <w:sz w:val="24"/>
          <w:szCs w:val="24"/>
          <w:lang w:val="en-US"/>
        </w:rPr>
        <w:t>Taagepera</w:t>
      </w:r>
      <w:proofErr w:type="spellEnd"/>
      <w:r w:rsidRPr="00C514C3">
        <w:rPr>
          <w:rFonts w:eastAsia="Times New Roman"/>
          <w:sz w:val="24"/>
          <w:szCs w:val="24"/>
          <w:lang w:val="en-US"/>
        </w:rPr>
        <w:t xml:space="preserve">, R., y Shugart, M. (1993). Predicting the Number of Parties: A Quantitative Model of Duverger's Mechanical Effect. </w:t>
      </w:r>
      <w:proofErr w:type="spellStart"/>
      <w:r>
        <w:rPr>
          <w:rFonts w:eastAsia="Times New Roman"/>
          <w:sz w:val="24"/>
          <w:szCs w:val="24"/>
        </w:rPr>
        <w:t>The</w:t>
      </w:r>
      <w:proofErr w:type="spellEnd"/>
      <w:r>
        <w:rPr>
          <w:rFonts w:eastAsia="Times New Roman"/>
          <w:sz w:val="24"/>
          <w:szCs w:val="24"/>
        </w:rPr>
        <w:t xml:space="preserve"> American </w:t>
      </w:r>
      <w:proofErr w:type="spellStart"/>
      <w:r>
        <w:rPr>
          <w:rFonts w:eastAsia="Times New Roman"/>
          <w:sz w:val="24"/>
          <w:szCs w:val="24"/>
        </w:rPr>
        <w:t>Political</w:t>
      </w:r>
      <w:proofErr w:type="spellEnd"/>
      <w:r>
        <w:rPr>
          <w:rFonts w:eastAsia="Times New Roman"/>
          <w:sz w:val="24"/>
          <w:szCs w:val="24"/>
        </w:rPr>
        <w:t xml:space="preserve"> </w:t>
      </w:r>
      <w:proofErr w:type="spellStart"/>
      <w:r>
        <w:rPr>
          <w:rFonts w:eastAsia="Times New Roman"/>
          <w:sz w:val="24"/>
          <w:szCs w:val="24"/>
        </w:rPr>
        <w:t>Science</w:t>
      </w:r>
      <w:proofErr w:type="spellEnd"/>
      <w:r>
        <w:rPr>
          <w:rFonts w:eastAsia="Times New Roman"/>
          <w:sz w:val="24"/>
          <w:szCs w:val="24"/>
        </w:rPr>
        <w:t xml:space="preserve"> Review 87 (2), 455-464.</w:t>
      </w:r>
    </w:p>
    <w:p w14:paraId="7840CFA2" w14:textId="77777777" w:rsidR="00436232" w:rsidRDefault="00436232">
      <w:pPr>
        <w:spacing w:line="132" w:lineRule="exact"/>
        <w:rPr>
          <w:sz w:val="20"/>
          <w:szCs w:val="20"/>
        </w:rPr>
      </w:pPr>
    </w:p>
    <w:p w14:paraId="7840CFA3" w14:textId="77777777" w:rsidR="00436232" w:rsidRDefault="005A140D">
      <w:pPr>
        <w:ind w:left="820"/>
        <w:rPr>
          <w:sz w:val="20"/>
          <w:szCs w:val="20"/>
        </w:rPr>
      </w:pPr>
      <w:r>
        <w:rPr>
          <w:rFonts w:eastAsia="Times New Roman"/>
          <w:sz w:val="24"/>
          <w:szCs w:val="24"/>
        </w:rPr>
        <w:t>.</w:t>
      </w:r>
    </w:p>
    <w:p w14:paraId="7840CFA4" w14:textId="77777777" w:rsidR="00436232" w:rsidRDefault="00436232">
      <w:pPr>
        <w:spacing w:line="200" w:lineRule="exact"/>
        <w:rPr>
          <w:sz w:val="20"/>
          <w:szCs w:val="20"/>
        </w:rPr>
      </w:pPr>
    </w:p>
    <w:p w14:paraId="7840CFA5" w14:textId="77777777" w:rsidR="00436232" w:rsidRDefault="00436232">
      <w:pPr>
        <w:spacing w:line="200" w:lineRule="exact"/>
        <w:rPr>
          <w:sz w:val="20"/>
          <w:szCs w:val="20"/>
        </w:rPr>
      </w:pPr>
    </w:p>
    <w:p w14:paraId="7840CFA6" w14:textId="77777777" w:rsidR="00436232" w:rsidRDefault="00436232">
      <w:pPr>
        <w:spacing w:line="200" w:lineRule="exact"/>
        <w:rPr>
          <w:sz w:val="20"/>
          <w:szCs w:val="20"/>
        </w:rPr>
      </w:pPr>
    </w:p>
    <w:p w14:paraId="7840CFA7" w14:textId="77777777" w:rsidR="00436232" w:rsidRDefault="00436232">
      <w:pPr>
        <w:spacing w:line="200" w:lineRule="exact"/>
        <w:rPr>
          <w:sz w:val="20"/>
          <w:szCs w:val="20"/>
        </w:rPr>
      </w:pPr>
    </w:p>
    <w:p w14:paraId="7840CFA8" w14:textId="77777777" w:rsidR="00436232" w:rsidRDefault="00436232">
      <w:pPr>
        <w:spacing w:line="200" w:lineRule="exact"/>
        <w:rPr>
          <w:sz w:val="20"/>
          <w:szCs w:val="20"/>
        </w:rPr>
      </w:pPr>
    </w:p>
    <w:p w14:paraId="7840CFA9" w14:textId="77777777" w:rsidR="00436232" w:rsidRDefault="00436232">
      <w:pPr>
        <w:spacing w:line="200" w:lineRule="exact"/>
        <w:rPr>
          <w:sz w:val="20"/>
          <w:szCs w:val="20"/>
        </w:rPr>
      </w:pPr>
    </w:p>
    <w:p w14:paraId="7840CFAA" w14:textId="77777777" w:rsidR="00436232" w:rsidRDefault="00436232">
      <w:pPr>
        <w:spacing w:line="200" w:lineRule="exact"/>
        <w:rPr>
          <w:sz w:val="20"/>
          <w:szCs w:val="20"/>
        </w:rPr>
      </w:pPr>
    </w:p>
    <w:p w14:paraId="7840CFAB" w14:textId="77777777" w:rsidR="00436232" w:rsidRDefault="00436232">
      <w:pPr>
        <w:spacing w:line="200" w:lineRule="exact"/>
        <w:rPr>
          <w:sz w:val="20"/>
          <w:szCs w:val="20"/>
        </w:rPr>
      </w:pPr>
    </w:p>
    <w:p w14:paraId="7840CFAC" w14:textId="77777777" w:rsidR="00436232" w:rsidRDefault="00436232">
      <w:pPr>
        <w:spacing w:line="200" w:lineRule="exact"/>
        <w:rPr>
          <w:sz w:val="20"/>
          <w:szCs w:val="20"/>
        </w:rPr>
      </w:pPr>
    </w:p>
    <w:p w14:paraId="7840CFAD" w14:textId="77777777" w:rsidR="00436232" w:rsidRDefault="00436232">
      <w:pPr>
        <w:spacing w:line="200" w:lineRule="exact"/>
        <w:rPr>
          <w:sz w:val="20"/>
          <w:szCs w:val="20"/>
        </w:rPr>
      </w:pPr>
    </w:p>
    <w:p w14:paraId="7840CFAE" w14:textId="77777777" w:rsidR="00436232" w:rsidRDefault="00436232">
      <w:pPr>
        <w:spacing w:line="200" w:lineRule="exact"/>
        <w:rPr>
          <w:sz w:val="20"/>
          <w:szCs w:val="20"/>
        </w:rPr>
      </w:pPr>
    </w:p>
    <w:p w14:paraId="7840CFAF" w14:textId="77777777" w:rsidR="00436232" w:rsidRDefault="00436232">
      <w:pPr>
        <w:spacing w:line="200" w:lineRule="exact"/>
        <w:rPr>
          <w:sz w:val="20"/>
          <w:szCs w:val="20"/>
        </w:rPr>
      </w:pPr>
    </w:p>
    <w:p w14:paraId="7840CFB0" w14:textId="77777777" w:rsidR="00436232" w:rsidRDefault="00436232">
      <w:pPr>
        <w:spacing w:line="200" w:lineRule="exact"/>
        <w:rPr>
          <w:sz w:val="20"/>
          <w:szCs w:val="20"/>
        </w:rPr>
      </w:pPr>
    </w:p>
    <w:p w14:paraId="7840CFB1" w14:textId="77777777" w:rsidR="00436232" w:rsidRDefault="00436232">
      <w:pPr>
        <w:spacing w:line="200" w:lineRule="exact"/>
        <w:rPr>
          <w:sz w:val="20"/>
          <w:szCs w:val="20"/>
        </w:rPr>
      </w:pPr>
    </w:p>
    <w:p w14:paraId="7840CFB2" w14:textId="77777777" w:rsidR="00436232" w:rsidRDefault="00436232">
      <w:pPr>
        <w:spacing w:line="200" w:lineRule="exact"/>
        <w:rPr>
          <w:sz w:val="20"/>
          <w:szCs w:val="20"/>
        </w:rPr>
      </w:pPr>
    </w:p>
    <w:p w14:paraId="7840CFB3" w14:textId="77777777" w:rsidR="00436232" w:rsidRDefault="00436232">
      <w:pPr>
        <w:spacing w:line="200" w:lineRule="exact"/>
        <w:rPr>
          <w:sz w:val="20"/>
          <w:szCs w:val="20"/>
        </w:rPr>
      </w:pPr>
    </w:p>
    <w:p w14:paraId="7840CFB4" w14:textId="77777777" w:rsidR="00436232" w:rsidRDefault="00436232">
      <w:pPr>
        <w:spacing w:line="200" w:lineRule="exact"/>
        <w:rPr>
          <w:sz w:val="20"/>
          <w:szCs w:val="20"/>
        </w:rPr>
      </w:pPr>
    </w:p>
    <w:p w14:paraId="7840CFB5" w14:textId="77777777" w:rsidR="00436232" w:rsidRDefault="00436232">
      <w:pPr>
        <w:spacing w:line="200" w:lineRule="exact"/>
        <w:rPr>
          <w:sz w:val="20"/>
          <w:szCs w:val="20"/>
        </w:rPr>
      </w:pPr>
    </w:p>
    <w:p w14:paraId="7840CFB6" w14:textId="77777777" w:rsidR="00436232" w:rsidRDefault="00436232">
      <w:pPr>
        <w:spacing w:line="200" w:lineRule="exact"/>
        <w:rPr>
          <w:sz w:val="20"/>
          <w:szCs w:val="20"/>
        </w:rPr>
      </w:pPr>
    </w:p>
    <w:p w14:paraId="7840CFB7" w14:textId="77777777" w:rsidR="00436232" w:rsidRDefault="00436232">
      <w:pPr>
        <w:spacing w:line="200" w:lineRule="exact"/>
        <w:rPr>
          <w:sz w:val="20"/>
          <w:szCs w:val="20"/>
        </w:rPr>
      </w:pPr>
    </w:p>
    <w:p w14:paraId="7840CFB8" w14:textId="77777777" w:rsidR="00436232" w:rsidRDefault="00436232">
      <w:pPr>
        <w:spacing w:line="200" w:lineRule="exact"/>
        <w:rPr>
          <w:sz w:val="20"/>
          <w:szCs w:val="20"/>
        </w:rPr>
      </w:pPr>
    </w:p>
    <w:p w14:paraId="7840CFB9" w14:textId="77777777" w:rsidR="00436232" w:rsidRDefault="00436232">
      <w:pPr>
        <w:spacing w:line="200" w:lineRule="exact"/>
        <w:rPr>
          <w:sz w:val="20"/>
          <w:szCs w:val="20"/>
        </w:rPr>
      </w:pPr>
    </w:p>
    <w:p w14:paraId="7840CFBA" w14:textId="77777777" w:rsidR="00436232" w:rsidRDefault="00436232">
      <w:pPr>
        <w:spacing w:line="200" w:lineRule="exact"/>
        <w:rPr>
          <w:sz w:val="20"/>
          <w:szCs w:val="20"/>
        </w:rPr>
      </w:pPr>
    </w:p>
    <w:p w14:paraId="7840CFBB" w14:textId="77777777" w:rsidR="00436232" w:rsidRDefault="00436232">
      <w:pPr>
        <w:spacing w:line="200" w:lineRule="exact"/>
        <w:rPr>
          <w:sz w:val="20"/>
          <w:szCs w:val="20"/>
        </w:rPr>
      </w:pPr>
    </w:p>
    <w:p w14:paraId="7840CFBC" w14:textId="77777777" w:rsidR="00436232" w:rsidRDefault="00436232">
      <w:pPr>
        <w:spacing w:line="200" w:lineRule="exact"/>
        <w:rPr>
          <w:sz w:val="20"/>
          <w:szCs w:val="20"/>
        </w:rPr>
      </w:pPr>
    </w:p>
    <w:p w14:paraId="7840CFBD" w14:textId="77777777" w:rsidR="00436232" w:rsidRDefault="00436232">
      <w:pPr>
        <w:spacing w:line="200" w:lineRule="exact"/>
        <w:rPr>
          <w:sz w:val="20"/>
          <w:szCs w:val="20"/>
        </w:rPr>
      </w:pPr>
    </w:p>
    <w:p w14:paraId="7840CFBE" w14:textId="77777777" w:rsidR="00436232" w:rsidRDefault="00436232">
      <w:pPr>
        <w:spacing w:line="200" w:lineRule="exact"/>
        <w:rPr>
          <w:sz w:val="20"/>
          <w:szCs w:val="20"/>
        </w:rPr>
      </w:pPr>
    </w:p>
    <w:p w14:paraId="7840CFBF" w14:textId="77777777" w:rsidR="00436232" w:rsidRDefault="00436232">
      <w:pPr>
        <w:spacing w:line="355" w:lineRule="exact"/>
        <w:rPr>
          <w:sz w:val="20"/>
          <w:szCs w:val="20"/>
        </w:rPr>
      </w:pPr>
    </w:p>
    <w:tbl>
      <w:tblPr>
        <w:tblW w:w="0" w:type="auto"/>
        <w:tblInd w:w="1720" w:type="dxa"/>
        <w:tblLayout w:type="fixed"/>
        <w:tblCellMar>
          <w:left w:w="0" w:type="dxa"/>
          <w:right w:w="0" w:type="dxa"/>
        </w:tblCellMar>
        <w:tblLook w:val="04A0" w:firstRow="1" w:lastRow="0" w:firstColumn="1" w:lastColumn="0" w:noHBand="0" w:noVBand="1"/>
      </w:tblPr>
      <w:tblGrid>
        <w:gridCol w:w="6980"/>
        <w:gridCol w:w="1500"/>
        <w:gridCol w:w="20"/>
      </w:tblGrid>
      <w:tr w:rsidR="00436232" w14:paraId="7840CFC3" w14:textId="77777777">
        <w:trPr>
          <w:trHeight w:val="240"/>
        </w:trPr>
        <w:tc>
          <w:tcPr>
            <w:tcW w:w="6980" w:type="dxa"/>
            <w:vAlign w:val="bottom"/>
          </w:tcPr>
          <w:p w14:paraId="7840CFC0" w14:textId="77777777" w:rsidR="00436232" w:rsidRDefault="005A140D">
            <w:pPr>
              <w:ind w:right="1019"/>
              <w:jc w:val="center"/>
              <w:rPr>
                <w:sz w:val="20"/>
                <w:szCs w:val="20"/>
              </w:rPr>
            </w:pPr>
            <w:r>
              <w:rPr>
                <w:rFonts w:ascii="Arial" w:eastAsia="Arial" w:hAnsi="Arial" w:cs="Arial"/>
                <w:w w:val="97"/>
                <w:sz w:val="20"/>
                <w:szCs w:val="20"/>
              </w:rPr>
              <w:t>Anuario del Centro de Investigación y Estudios Políticos</w:t>
            </w:r>
          </w:p>
        </w:tc>
        <w:tc>
          <w:tcPr>
            <w:tcW w:w="1500" w:type="dxa"/>
            <w:vMerge w:val="restart"/>
            <w:vAlign w:val="bottom"/>
          </w:tcPr>
          <w:p w14:paraId="7840CFC1" w14:textId="77777777" w:rsidR="00436232" w:rsidRDefault="005A140D">
            <w:pPr>
              <w:jc w:val="right"/>
              <w:rPr>
                <w:sz w:val="20"/>
                <w:szCs w:val="20"/>
              </w:rPr>
            </w:pPr>
            <w:r>
              <w:rPr>
                <w:rFonts w:ascii="Arial" w:eastAsia="Arial" w:hAnsi="Arial" w:cs="Arial"/>
              </w:rPr>
              <w:t>144</w:t>
            </w:r>
          </w:p>
        </w:tc>
        <w:tc>
          <w:tcPr>
            <w:tcW w:w="0" w:type="dxa"/>
            <w:vAlign w:val="bottom"/>
          </w:tcPr>
          <w:p w14:paraId="7840CFC2" w14:textId="77777777" w:rsidR="00436232" w:rsidRDefault="00436232">
            <w:pPr>
              <w:rPr>
                <w:sz w:val="1"/>
                <w:szCs w:val="1"/>
              </w:rPr>
            </w:pPr>
          </w:p>
        </w:tc>
      </w:tr>
      <w:tr w:rsidR="00436232" w14:paraId="7840CFC7" w14:textId="77777777">
        <w:trPr>
          <w:trHeight w:val="260"/>
        </w:trPr>
        <w:tc>
          <w:tcPr>
            <w:tcW w:w="6980" w:type="dxa"/>
            <w:vAlign w:val="bottom"/>
          </w:tcPr>
          <w:p w14:paraId="7840CFC4" w14:textId="77777777" w:rsidR="00436232" w:rsidRDefault="005A140D">
            <w:pPr>
              <w:ind w:right="1019"/>
              <w:jc w:val="center"/>
              <w:rPr>
                <w:sz w:val="20"/>
                <w:szCs w:val="20"/>
              </w:rPr>
            </w:pPr>
            <w:r>
              <w:rPr>
                <w:rFonts w:ascii="Arial" w:eastAsia="Arial" w:hAnsi="Arial" w:cs="Arial"/>
                <w:sz w:val="20"/>
                <w:szCs w:val="20"/>
              </w:rPr>
              <w:t>Universidad de Costa Rica, 10: 141-144, 2019 ISSN: 2215-2873</w:t>
            </w:r>
          </w:p>
        </w:tc>
        <w:tc>
          <w:tcPr>
            <w:tcW w:w="1500" w:type="dxa"/>
            <w:vMerge/>
            <w:vAlign w:val="bottom"/>
          </w:tcPr>
          <w:p w14:paraId="7840CFC5" w14:textId="77777777" w:rsidR="00436232" w:rsidRDefault="00436232"/>
        </w:tc>
        <w:tc>
          <w:tcPr>
            <w:tcW w:w="0" w:type="dxa"/>
            <w:vAlign w:val="bottom"/>
          </w:tcPr>
          <w:p w14:paraId="7840CFC6" w14:textId="77777777" w:rsidR="00436232" w:rsidRDefault="00436232">
            <w:pPr>
              <w:rPr>
                <w:sz w:val="1"/>
                <w:szCs w:val="1"/>
              </w:rPr>
            </w:pPr>
          </w:p>
        </w:tc>
      </w:tr>
    </w:tbl>
    <w:p w14:paraId="7840CFC8" w14:textId="77777777" w:rsidR="00436232" w:rsidRDefault="00436232">
      <w:pPr>
        <w:spacing w:line="1" w:lineRule="exact"/>
        <w:rPr>
          <w:sz w:val="20"/>
          <w:szCs w:val="20"/>
        </w:rPr>
      </w:pPr>
    </w:p>
    <w:sectPr w:rsidR="00436232">
      <w:pgSz w:w="12240" w:h="15840"/>
      <w:pgMar w:top="724" w:right="600" w:bottom="131" w:left="1440" w:header="0" w:footer="0" w:gutter="0"/>
      <w:cols w:space="720" w:equalWidth="0">
        <w:col w:w="1020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27B23C6"/>
    <w:multiLevelType w:val="hybridMultilevel"/>
    <w:tmpl w:val="D2B29BB8"/>
    <w:lvl w:ilvl="0" w:tplc="70A84F1A">
      <w:start w:val="1"/>
      <w:numFmt w:val="bullet"/>
      <w:lvlText w:val="1"/>
      <w:lvlJc w:val="left"/>
    </w:lvl>
    <w:lvl w:ilvl="1" w:tplc="185854BE">
      <w:numFmt w:val="decimal"/>
      <w:lvlText w:val=""/>
      <w:lvlJc w:val="left"/>
    </w:lvl>
    <w:lvl w:ilvl="2" w:tplc="6D223770">
      <w:numFmt w:val="decimal"/>
      <w:lvlText w:val=""/>
      <w:lvlJc w:val="left"/>
    </w:lvl>
    <w:lvl w:ilvl="3" w:tplc="53CC3044">
      <w:numFmt w:val="decimal"/>
      <w:lvlText w:val=""/>
      <w:lvlJc w:val="left"/>
    </w:lvl>
    <w:lvl w:ilvl="4" w:tplc="037AE1BE">
      <w:numFmt w:val="decimal"/>
      <w:lvlText w:val=""/>
      <w:lvlJc w:val="left"/>
    </w:lvl>
    <w:lvl w:ilvl="5" w:tplc="BB1EF76E">
      <w:numFmt w:val="decimal"/>
      <w:lvlText w:val=""/>
      <w:lvlJc w:val="left"/>
    </w:lvl>
    <w:lvl w:ilvl="6" w:tplc="D96C88AE">
      <w:numFmt w:val="decimal"/>
      <w:lvlText w:val=""/>
      <w:lvlJc w:val="left"/>
    </w:lvl>
    <w:lvl w:ilvl="7" w:tplc="E4BCB6EA">
      <w:numFmt w:val="decimal"/>
      <w:lvlText w:val=""/>
      <w:lvlJc w:val="left"/>
    </w:lvl>
    <w:lvl w:ilvl="8" w:tplc="C2BE9CE4">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36232"/>
    <w:rsid w:val="00436232"/>
    <w:rsid w:val="005A140D"/>
    <w:rsid w:val="00C514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40CF37"/>
  <w15:docId w15:val="{B0A398A0-4D67-4846-9247-F9AA021FA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sz w:val="22"/>
        <w:szCs w:val="22"/>
        <w:lang w:val="es-CR" w:eastAsia="es-C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1644</Words>
  <Characters>9042</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Alonso Ramirez Cover</cp:lastModifiedBy>
  <cp:revision>3</cp:revision>
  <dcterms:created xsi:type="dcterms:W3CDTF">2020-06-19T23:50:00Z</dcterms:created>
  <dcterms:modified xsi:type="dcterms:W3CDTF">2021-02-25T21:06:00Z</dcterms:modified>
</cp:coreProperties>
</file>