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EL TIPO PENAL DE DIVULGACIÓN DE SECRETOS A LA LUZ DEL DEBER Y OBLIGACIÓN NOTARIAL DE GUARDAR EL SECRETO EN COSTA RICA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THE CRIMINAL TYPE OF DISCLOSURE OF SECRETS IN LIGHT OF THE DUTY AND NOTARIAL OBLIGATION TO KEEP THE SECRET IN COSTA RICA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0"/>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right"/>
        <w:rPr>
          <w:rFonts w:ascii="Arial" w:cs="Arial" w:eastAsia="Arial" w:hAnsi="Arial"/>
          <w:i w:val="1"/>
          <w:iCs w:val="1"/>
          <w:smallCaps w:val="0"/>
          <w:strike w:val="0"/>
          <w:sz w:val="24"/>
          <w:szCs w:val="24"/>
          <w:u w:val="none"/>
          <w:shd w:fill="auto" w:val="clear"/>
          <w:vertAlign w:val="baseline"/>
        </w:rPr>
      </w:pP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Silvia María Madrigal Córdoba</w:t>
      </w:r>
      <w:r w:rsidDel="00000000" w:rsidR="00000000" w:rsidRPr="00000000">
        <w:rPr>
          <w:rFonts w:ascii="Arial" w:cs="Arial" w:eastAsia="Arial" w:hAnsi="Arial"/>
          <w:i w:val="1"/>
          <w:iCs w:val="1"/>
          <w:smallCaps w:val="0"/>
          <w:strike w:val="0"/>
          <w:sz w:val="24"/>
          <w:szCs w:val="24"/>
          <w:u w:val="none"/>
          <w:shd w:fill="auto" w:val="clear"/>
          <w:vertAlign w:val="superscript"/>
        </w:rPr>
        <w:footnoteReference w:customMarkFollows="0" w:id="0"/>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 </w:t>
      </w:r>
    </w:p>
    <w:p w:rsidR="00000000" w:rsidDel="00000000" w:rsidP="00000000" w:rsidRDefault="00000000" w:rsidRPr="00000000" w14:paraId="00000005">
      <w:pPr>
        <w:spacing w:before="160" w:line="360" w:lineRule="auto"/>
        <w:rPr>
          <w:rFonts w:ascii="Arial" w:cs="Arial" w:eastAsia="Arial" w:hAnsi="Arial"/>
        </w:rPr>
      </w:pPr>
      <w:r w:rsidDel="00000000" w:rsidR="00000000" w:rsidRPr="00000000">
        <w:rPr>
          <w:rFonts w:ascii="Arial" w:cs="Arial" w:eastAsia="Arial" w:hAnsi="Arial"/>
          <w:rtl w:val="0"/>
        </w:rPr>
        <w:t xml:space="preserve">Fecha de recepción: 14 de agosto del 2025</w:t>
      </w:r>
    </w:p>
    <w:p w:rsidR="00000000" w:rsidDel="00000000" w:rsidP="00000000" w:rsidRDefault="00000000" w:rsidRPr="00000000" w14:paraId="00000006">
      <w:pPr>
        <w:spacing w:before="160" w:line="360" w:lineRule="auto"/>
        <w:rPr>
          <w:rFonts w:ascii="Arial" w:cs="Arial" w:eastAsia="Arial" w:hAnsi="Arial"/>
          <w:b w:val="1"/>
          <w:bCs w:val="1"/>
        </w:rPr>
      </w:pPr>
      <w:r w:rsidDel="00000000" w:rsidR="00000000" w:rsidRPr="00000000">
        <w:rPr>
          <w:rFonts w:ascii="Arial" w:cs="Arial" w:eastAsia="Arial" w:hAnsi="Arial"/>
          <w:rtl w:val="0"/>
        </w:rPr>
        <w:t xml:space="preserve">Fecha de aprobación: 30 de noviembre del 2025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0"/>
        <w:jc w:val="both"/>
        <w:rPr>
          <w:rFonts w:ascii="Arial" w:cs="Arial" w:eastAsia="Arial" w:hAnsi="Arial"/>
        </w:rPr>
      </w:pPr>
      <w:r w:rsidDel="00000000" w:rsidR="00000000" w:rsidRPr="00000000">
        <w:rPr>
          <w:rFonts w:ascii="Arial" w:cs="Arial" w:eastAsia="Arial" w:hAnsi="Arial"/>
          <w:b w:val="1"/>
          <w:bCs w:val="1"/>
          <w:rtl w:val="0"/>
        </w:rPr>
        <w:t xml:space="preserve">RESUMEN: </w:t>
      </w:r>
      <w:r w:rsidDel="00000000" w:rsidR="00000000" w:rsidRPr="00000000">
        <w:rPr>
          <w:rFonts w:ascii="Arial" w:cs="Arial" w:eastAsia="Arial" w:hAnsi="Arial"/>
          <w:rtl w:val="0"/>
        </w:rPr>
        <w:t xml:space="preserve">El secreto profesional en la relación entre persona </w:t>
      </w:r>
      <w:r w:rsidDel="00000000" w:rsidR="00000000" w:rsidRPr="00000000">
        <w:rPr>
          <w:rFonts w:ascii="Arial" w:cs="Arial" w:eastAsia="Arial" w:hAnsi="Arial"/>
          <w:rtl w:val="0"/>
        </w:rPr>
        <w:t xml:space="preserve">notaria</w:t>
      </w:r>
      <w:r w:rsidDel="00000000" w:rsidR="00000000" w:rsidRPr="00000000">
        <w:rPr>
          <w:rFonts w:ascii="Arial" w:cs="Arial" w:eastAsia="Arial" w:hAnsi="Arial"/>
          <w:rtl w:val="0"/>
        </w:rPr>
        <w:t xml:space="preserve"> pública y los usuarios constituye un deber y una garantía, aunque para algunas personas resulta paradójico, sobre todo cuando se reduce la actividad notarial a lo que consta en el protocolo y en los diferentes registros. </w:t>
      </w:r>
      <w:r w:rsidDel="00000000" w:rsidR="00000000" w:rsidRPr="00000000">
        <w:rPr>
          <w:rFonts w:ascii="Arial" w:cs="Arial" w:eastAsia="Arial" w:hAnsi="Arial"/>
          <w:rtl w:val="0"/>
        </w:rPr>
        <w:t xml:space="preserve">El artículo 38 del Código Notarial y el artículo 20 de los Lineamientos Deontológicos del Notariado Costarricense regulan la obligación de guardar el secreto de las manifestaciones </w:t>
      </w:r>
      <w:r w:rsidDel="00000000" w:rsidR="00000000" w:rsidRPr="00000000">
        <w:rPr>
          <w:rFonts w:ascii="Arial" w:cs="Arial" w:eastAsia="Arial" w:hAnsi="Arial"/>
          <w:rtl w:val="0"/>
        </w:rPr>
        <w:t xml:space="preserve">extraprotocolares</w:t>
      </w:r>
      <w:r w:rsidDel="00000000" w:rsidR="00000000" w:rsidRPr="00000000">
        <w:rPr>
          <w:rFonts w:ascii="Arial" w:cs="Arial" w:eastAsia="Arial" w:hAnsi="Arial"/>
          <w:rtl w:val="0"/>
        </w:rPr>
        <w:t xml:space="preserve">. El ejercicio notarial en la actualidad se enfrenta a retos y desafíos nuevos debido en gran parte a la proliferación de conductas delictivas como la legitimación de capitales y el narcotráfico. La función notarial es clave en la transferencia de bienes lo que ha dado lugar a que los profesionales en esta rama del Derecho sean considerados un grupo vulnerable que debe adoptar medidas como parte de la estrategia internacional y nacional contra esta problemática social. El Grupo de Acción Financiera Internacional (GAFI) emitió unas recomendaciones, algunas de estas de aplicación a los profesionales en Derecho. Costa Rica ha adoptado estas recomendaciones lo que ha llevado a la inclusión de nuevas obligaciones y medidas, en el caso en estudio, para la persona </w:t>
      </w:r>
      <w:r w:rsidDel="00000000" w:rsidR="00000000" w:rsidRPr="00000000">
        <w:rPr>
          <w:rFonts w:ascii="Arial" w:cs="Arial" w:eastAsia="Arial" w:hAnsi="Arial"/>
          <w:rtl w:val="0"/>
        </w:rPr>
        <w:t xml:space="preserve">notaria</w:t>
      </w:r>
      <w:r w:rsidDel="00000000" w:rsidR="00000000" w:rsidRPr="00000000">
        <w:rPr>
          <w:rFonts w:ascii="Arial" w:cs="Arial" w:eastAsia="Arial" w:hAnsi="Arial"/>
          <w:rtl w:val="0"/>
        </w:rPr>
        <w:t xml:space="preserve"> pública. Como parte de las medidas se creó el Área de Prevención de Legitimación de Capitales en la Dirección Nacional de Notariado (DNN), encargada de apoyar, supervisar y fiscalizar a estos profesionales. Dentro de las recomendaciones se ha referencia al secreto profesional para la persona abogada y la persona notaría pública. Por su parte el Código Penal costarricense sanciona la divulgación de secretos por parte de profesionales, como los notarios, quienes ejercen una función pública delegada pero no son considerados funcionarios públicos por solo el hecho de ser notarios, según lo analizado por la jurisprudencia de la Sala Constitucional. El análisis del tipo penal se abordará luego de establecer aspectos generales del ejercicio notarial como antesala para una mejor comprensión del delito tratado desde la función notarial.</w:t>
      </w:r>
    </w:p>
    <w:p w:rsidR="00000000" w:rsidDel="00000000" w:rsidP="00000000" w:rsidRDefault="00000000" w:rsidRPr="00000000" w14:paraId="00000008">
      <w:pPr>
        <w:spacing w:after="160" w:before="160" w:line="360" w:lineRule="auto"/>
        <w:ind w:right="75"/>
        <w:jc w:val="both"/>
        <w:rPr>
          <w:rFonts w:ascii="Arial" w:cs="Arial" w:eastAsia="Arial" w:hAnsi="Arial"/>
        </w:rPr>
      </w:pPr>
      <w:r w:rsidDel="00000000" w:rsidR="00000000" w:rsidRPr="00000000">
        <w:rPr>
          <w:rFonts w:ascii="Arial" w:cs="Arial" w:eastAsia="Arial" w:hAnsi="Arial"/>
          <w:b w:val="1"/>
          <w:bCs w:val="1"/>
          <w:rtl w:val="0"/>
        </w:rPr>
        <w:t xml:space="preserve">PALABRAS CLAVE:</w:t>
      </w:r>
      <w:r w:rsidDel="00000000" w:rsidR="00000000" w:rsidRPr="00000000">
        <w:rPr>
          <w:rFonts w:ascii="Arial" w:cs="Arial" w:eastAsia="Arial" w:hAnsi="Arial"/>
          <w:rtl w:val="0"/>
        </w:rPr>
        <w:t xml:space="preserve"> Persona notaria pública; obligaciones; deberes; secreto profesional; divulgación de secretos; tipo penal; legitimación de capitales; recomendaciones GAFI.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rtl w:val="0"/>
        </w:rPr>
        <w:t xml:space="preserve">ABSTRACT: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Professional secrecy in the relationship between a notary and their users constitutes a duty and a guarantee, although for some, it seems paradoxical, especially when notarial activity is reduced to what is recorded in the protocol and various registries. Article 38 of the Notarial Code and Article 20 of the Deontological Guidelines of the Costa Rican Notary regulate the obligation to keep the secrecy of out-of-the-protocol statements. Notarial practice currently faces new goals and challenges, largely due to the proliferation of criminal conducts such as money laundering and drug trafficking. The notarial function is key in the transfer of assets, which has led to professionals in this branch of law to be considered a vulnerable group that must adopt measures in accordance with the international and national strategies to fight against these social problems. The Financial Action Task Force (FATF) issued several recommendations, some of which apply to notaries. Costa Rica has adopted these recommendations, which have led to the inclusion of new obligations and measures, in the case under study, that apply to notaries. As part of these measures, the </w:t>
      </w:r>
      <w:r w:rsidDel="00000000" w:rsidR="00000000" w:rsidRPr="00000000">
        <w:rPr>
          <w:rFonts w:ascii="Arial" w:cs="Arial" w:eastAsia="Arial" w:hAnsi="Arial"/>
          <w:b w:val="0"/>
          <w:bCs w:val="0"/>
          <w:i w:val="1"/>
          <w:iCs w:val="1"/>
          <w:smallCaps w:val="0"/>
          <w:strike w:val="0"/>
          <w:sz w:val="24"/>
          <w:szCs w:val="24"/>
          <w:u w:val="none"/>
          <w:shd w:fill="auto" w:val="clear"/>
          <w:vertAlign w:val="baseline"/>
          <w:rtl w:val="0"/>
        </w:rPr>
        <w:t xml:space="preserve">Área de Prevención was created within the Dirección Nacional de Notariado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(National Notary Directorate, DNN by its acronym in Spanish),</w:t>
      </w:r>
      <w:r w:rsidDel="00000000" w:rsidR="00000000" w:rsidRPr="00000000">
        <w:rPr>
          <w:rFonts w:ascii="Arial" w:cs="Arial" w:eastAsia="Arial" w:hAnsi="Arial"/>
          <w:b w:val="0"/>
          <w:bCs w:val="0"/>
          <w:i w:val="1"/>
          <w:iCs w:val="1"/>
          <w:smallCaps w:val="0"/>
          <w:strike w:val="0"/>
          <w:sz w:val="24"/>
          <w:szCs w:val="24"/>
          <w:u w:val="none"/>
          <w:shd w:fill="auto" w:val="clear"/>
          <w:vertAlign w:val="baseline"/>
          <w:rtl w:val="0"/>
        </w:rPr>
        <w:t xml:space="preserve"> responsible for supporting, supervising, and inspecting these professionals</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The recommendations include references to professional secrecy for lawyers and notaries. The Costa Rican Criminal Code penalizes the disclosure of secrets by professionals, such as notaries, who exert a delegated public function but are not considered public officials solely for being notaries, as analyzed by the jurisprudence of the Constitutional Court. The analysis of the criminal offense will be addressed after establishing general aspects of notarial practice as a prelude to a better understanding of the crime addressed from the notarial function.</w:t>
      </w:r>
    </w:p>
    <w:p w:rsidR="00000000" w:rsidDel="00000000" w:rsidP="00000000" w:rsidRDefault="00000000" w:rsidRPr="00000000" w14:paraId="0000000A">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KEYWORDS:</w:t>
      </w:r>
      <w:r w:rsidDel="00000000" w:rsidR="00000000" w:rsidRPr="00000000">
        <w:rPr>
          <w:rFonts w:ascii="Arial" w:cs="Arial" w:eastAsia="Arial" w:hAnsi="Arial"/>
          <w:rtl w:val="0"/>
        </w:rPr>
        <w:t xml:space="preserve"> Notaries; obligations; duties; professional </w:t>
      </w:r>
      <w:r w:rsidDel="00000000" w:rsidR="00000000" w:rsidRPr="00000000">
        <w:rPr>
          <w:rFonts w:ascii="Arial" w:cs="Arial" w:eastAsia="Arial" w:hAnsi="Arial"/>
          <w:rtl w:val="0"/>
        </w:rPr>
        <w:t xml:space="preserve">secrecy;</w:t>
      </w:r>
      <w:r w:rsidDel="00000000" w:rsidR="00000000" w:rsidRPr="00000000">
        <w:rPr>
          <w:rFonts w:ascii="Arial" w:cs="Arial" w:eastAsia="Arial" w:hAnsi="Arial"/>
          <w:rtl w:val="0"/>
        </w:rPr>
        <w:t xml:space="preserve"> disclosure of secrets; criminal offense; money laundering; recommendations GAFI.</w:t>
      </w:r>
    </w:p>
    <w:p w:rsidR="00000000" w:rsidDel="00000000" w:rsidP="00000000" w:rsidRDefault="00000000" w:rsidRPr="00000000" w14:paraId="0000000B">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ÍNDICE: </w:t>
      </w:r>
      <w:r w:rsidDel="00000000" w:rsidR="00000000" w:rsidRPr="00000000">
        <w:rPr>
          <w:rFonts w:ascii="Arial" w:cs="Arial" w:eastAsia="Arial" w:hAnsi="Arial"/>
          <w:rtl w:val="0"/>
        </w:rPr>
        <w:t xml:space="preserve">Introducción; 2. Aspectos generales de la función notarial en el contexto de la obligación de guardar secreto; 3. El tipo penal de divulgación de secretos en el Código Penal costarricense; 5. Conclusiones. 6. Bibliografía.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160" w:line="360" w:lineRule="auto"/>
        <w:ind w:left="720" w:right="0" w:hanging="360"/>
        <w:jc w:val="both"/>
        <w:rPr>
          <w:rFonts w:ascii="Arial" w:cs="Arial" w:eastAsia="Arial" w:hAnsi="Arial"/>
          <w:b w:val="1"/>
          <w:bCs w:val="1"/>
          <w:i w:val="0"/>
          <w:iCs w:val="0"/>
          <w:smallCaps w:val="0"/>
          <w:strike w:val="0"/>
          <w:sz w:val="24"/>
          <w:szCs w:val="24"/>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Introducción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secreto profesional como deber y derecho notarial se fundamenta en el principio de confianza que representa una de las partes más importantes del vínculo entre la persona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notaria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pública y el usuario o usuarios. La seguridad de que los hechos que se relatan se utilizarán con el mayor recelo, permite que la persona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notaria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obtenga la información primordial de la persona usuaria, con la finalidad de brindar un servicio conforme lo exige el Código Notarial y demás normativa relacionada. Actualmente la persona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notaria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debe, además, ser vigilante y colaborar en el combate internacional y nacional contra la problemática de la legitimación de capitales. La naturaleza de las nuevas obligaciones conlleva a un replanteamiento de conceptualización y alcances del secreto profesional de la persona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notaria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como parte del ejercicio, sobre todo a nivel práctico.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La violación del secreto profesional puede aparejar para la persona notaria sanciones penales, civiles y disciplinarias (no son excluyentes). En ámbito penal la conducta se sanciona mediante el tipo de Divulgación de secretos. El análisis del tipo penal se hará en el orden que establece la teoría del delito, sin ahondar cada elemento doctrinal, su finalidad es facilitar el estudio en particular del tipo penal a la luz del deber y derecho objetos de este trabajo.</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160" w:line="360" w:lineRule="auto"/>
        <w:ind w:left="720" w:right="0" w:hanging="360"/>
        <w:jc w:val="both"/>
        <w:rPr>
          <w:rFonts w:ascii="Arial" w:cs="Arial" w:eastAsia="Arial" w:hAnsi="Arial"/>
          <w:b w:val="1"/>
          <w:bCs w:val="1"/>
          <w:i w:val="0"/>
          <w:iCs w:val="0"/>
          <w:smallCaps w:val="0"/>
          <w:strike w:val="0"/>
          <w:sz w:val="24"/>
          <w:szCs w:val="24"/>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Aspectos generales de la función notarial en el contexto de la obligación de guardar secreto.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secreto profesional relacionado con el ejercicio notarial suele resultar para algunas personas paradójico, esto por la relación tan estrecha con el principio de publicidad. Diferente es cuando se asocia a la función de la persona abogada, donde parece ser un requisito implícito.</w:t>
      </w:r>
      <w:r w:rsidDel="00000000" w:rsidR="00000000" w:rsidRPr="00000000">
        <w:rPr>
          <w:rtl w:val="0"/>
        </w:rPr>
      </w:r>
    </w:p>
    <w:p w:rsidR="00000000" w:rsidDel="00000000" w:rsidP="00000000" w:rsidRDefault="00000000" w:rsidRPr="00000000" w14:paraId="00000011">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“El secreto profesional se basa en este principio de confianza que constituye la clave del vínculo entre cliente y abogado. Este secreto es fundamental para que el cliente pueda relatar al abogado los hechos de forma que este pueda conocer el asunto en profundidad para encontrar la forma de ayudarle cumpliendo así su labor como profesional del derecho. No se trata pues de un privilegio, sino de un requisito implícito al ejercicio de la abogacía. Luego, si no se pudiera garantizar la base de confianza entre cliente y abogado no existiría la actividad profesional del abogado como la conocemos actualmente. El fundamento del secreto profesional tiene una doble vertiente. Por un lado, se basa en la relación de confianza que debe existir entre el abogado y el cliente, en la garantía de la protección de su intimidad y la de terceros; por otro en la necesidad de proteger este secreto para realizar su trabajo de forma eficaz y facilitar el curso de la justicia con las garantías procesales propias de un estado de derecho.”</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La persona notaria pública también tiene la obligación de guardar el secreto profesional. Así lo establece la doctrina, la jurisprudencia y la normativa que rige la materia.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artículo 38 del Código Notarial refiere que “los notarios están obligados a guardar el secreto profesional de las manifestaciones extraprotocolares expresadas por las partes y demás interesados en el contrato</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2"/>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Como puede observarse la redacción es básica, sin elementos que ayuden a la persona notaria a contar con más información acerca del alcance de dicho deber y derecho. Además, se ahonda en los lineamientos deontológicos.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artículo 4 del Código de Ética Notarial de Perú promulgado en 1985, resulta, -como se verá-, es, quizás, más claro.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artículo 20 de los Lineamientos Deontológicos del Notariado Costarricense lo considera la “obligación del notario público de mantener en su fuero interno, todas las confidencias e informaciones extra protocolares, con las excepciones de ley.”</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Código de Ética del Notariado Peruano Decreto Supremo 015-85-JUS estipula lo siguiente “artículo 4.- El Secreto Profesional constituye un deber y un derecho del Notario. Es deber en relación con las personas que solicitan sus servicios profesionales, que subsisten, aunque no se haya prestado el servicio o haya concluido tal prestación.”</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Dicha norma adiciona lo que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“respecto a las autoridades es derecho que invocará ante la orden o petición de hacer declaraciones de cualquier naturaleza que afecten el secreto”</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Dos deberes sustentan, esencialmente, el secreto notarial: el de rogación y asesoría.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Ambos regulados en el Código Notarial, los Lineamientos para el ejercicio y control del servicio notarial y en los Lineamientos Deontológicos.</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La etapa asesora es de suma importancia porque es el momento en que la persona notaria escucha a la persona usuaria y se informa de sus requerimientos. A partir de este momento nace la obligación y el deber de honrar el secreto profesional. Es importante adicionar que la persona notaria pública debe actuar de manera imparcial (deber notarial y deontológico), por tanto, lo que escucha y la información están cubiertas por el secreto profesional para todos los usuarios. Por ejemplo, se piensa en que se presente el comprador y el vendedor de un bien, aunque hubiera sido el comprador quien solicitó sus servicios. Ahora bien, surge la pregunta: ¿qué cubre el secreto?,especialmente en la primera etapa (la asesora). Al respecto se cita a V</w:t>
      </w:r>
      <w:r w:rsidDel="00000000" w:rsidR="00000000" w:rsidRPr="00000000">
        <w:rPr>
          <w:rFonts w:ascii="Arial" w:cs="Arial" w:eastAsia="Arial" w:hAnsi="Arial"/>
          <w:rtl w:val="0"/>
        </w:rPr>
        <w:t xml:space="preserve">idal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Domínguez:</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Se concluye así que la obligación de guardar el secreto no puede quedar remitida en forma excluyente sólo a las expresiones verbales o confidencias que se reciben de un cliente, sino que además extenderse a todo aquello que esté relacionado con lo anterior, sea cual sea la forma que ello asuma. Cualquier cosa que se deslice puede servir de elemento suficiente para despertar el conocimiento por otros de las intimidades personales, patrimoniales, familiares o comerciales del confidente. En suma, de lo que es privado, propio de cada persona. De su derecho a la intimidad.</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3"/>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Existen casos donde la información del usuario no se recibe directamente (en la oficina, por ejemplo), sino, por causalidad, o por circunstancias accidentales. El mismo autor antes citado explica lo siguiente: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Creemos ilustrar esta idea con el siguiente ejemplo: al suscribir una escritura de compraventa los otorgantes, conversando, y suponiendo no ser oídos manifiestan que el contrato tendrá para ellos carácter de simulado por las razones que dan.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Este conocimiento accidental, ¿queda también amparado por la obligación de guardar el secreto?</w:t>
      </w:r>
    </w:p>
    <w:p w:rsidR="00000000" w:rsidDel="00000000" w:rsidP="00000000" w:rsidRDefault="00000000" w:rsidRPr="00000000" w14:paraId="00000019">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Creemos que sí porque si bien no fue entregada la confidencia en una consulta directa o indirecta al notario sí lo fue en relación con un documento, acto o contrato, a suscribirse en su oficio”</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Otra situación que puede presentarse es la información que resulta de una conversación casual. En ocasiones algunos profesionales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como es el caso de las personas notarias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suelen recibir consultas en ambientes informales: en una actividad social o de recreo, por ejemplo. En este caso, de conformidad con el discurso que subyace detrás de la regulación del secreto profesional, lo que dicta la prudencia es que aún bajo estas condiciones se preserve la privacidad de lo consultado, siempre y cuando la asesoría se dio en un ambiente reservado, y no ante varias personas que no tienen relación con el asunto, porque la misma persona estaría renunciando a que lo dicho se mantenga en el ámbito privado.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La siguiente situación requiere de mayor atención. Dentro de las actuaciones notariales se encuentra el traspaso de bienes, entre otros negocios jurídicos.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Con la proliferación de delitos como la legitimación de capitales y para cumplir con compromisos internacionales, como parte del combate contra esta criminalidad, se promulgó la Ley 9449</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que reformó varios artículos de la Ley 7786 además se adicionó el artículo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15 ter, el cual establece obligaciones para la persona notaria pública</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5"/>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secreto profesional no escapa a la revaloración y análisis a la luz de estas de las nuevas medidas y obligaciones. T</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rigo menciona esta realidad generada por la criminalidad señalada y a los cambios al abordar el secreto. Valga aclarar que se refiere a la abogacía, pero de esto surge una pregunta: ¿funciona igual para el notariado? </w:t>
      </w:r>
    </w:p>
    <w:p w:rsidR="00000000" w:rsidDel="00000000" w:rsidP="00000000" w:rsidRDefault="00000000" w:rsidRPr="00000000" w14:paraId="0000001D">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“Actualmente en Europa existe una tendencia creciente enfocada a evitar el blanqueo de capitales y que hace que la figura del secreto profesional del abogado se esté revisando para que el profesional de la abogacía cuente con una serie de límites que eviten que su obligación de silencio le convierta en un mero cómplice de estos delitos. Son varias las directivas dictadas en este sentido y que se están trasladando a las diferentes legislaciones de los respectivos países”</w:t>
      </w:r>
      <w:r w:rsidDel="00000000" w:rsidR="00000000" w:rsidRPr="00000000">
        <w:rPr>
          <w:rFonts w:ascii="Arial" w:cs="Arial" w:eastAsia="Arial" w:hAnsi="Arial"/>
          <w:vertAlign w:val="superscript"/>
        </w:rPr>
        <w:footnoteReference w:customMarkFollows="0" w:id="6"/>
      </w:r>
      <w:r w:rsidDel="00000000" w:rsidR="00000000" w:rsidRPr="00000000">
        <w:rPr>
          <w:rFonts w:ascii="Arial" w:cs="Arial" w:eastAsia="Arial" w:hAnsi="Arial"/>
          <w:rtl w:val="0"/>
        </w:rPr>
        <w:t xml:space="preserve">.</w:t>
      </w:r>
    </w:p>
    <w:p w:rsidR="00000000" w:rsidDel="00000000" w:rsidP="00000000" w:rsidRDefault="00000000" w:rsidRPr="00000000" w14:paraId="0000001E">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rtl w:val="0"/>
        </w:rPr>
        <w:t xml:space="preserve">ste mismo autor Trigo se pregunta lo siguiente “teniendo en cuenta el principio de confianza (…) podemos cuestionarnos cuál es el límite cuando éste puede implicar la vulneración de otros bienes jurídicos”</w:t>
      </w:r>
      <w:r w:rsidDel="00000000" w:rsidR="00000000" w:rsidRPr="00000000">
        <w:rPr>
          <w:rFonts w:ascii="Arial" w:cs="Arial" w:eastAsia="Arial" w:hAnsi="Arial"/>
          <w:vertAlign w:val="superscript"/>
        </w:rPr>
        <w:footnoteReference w:customMarkFollows="0" w:id="7"/>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F">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Se retoma la pregunta hecha en el sentido si lo referido por </w:t>
      </w:r>
      <w:r w:rsidDel="00000000" w:rsidR="00000000" w:rsidRPr="00000000">
        <w:rPr>
          <w:rFonts w:ascii="Arial" w:cs="Arial" w:eastAsia="Arial" w:hAnsi="Arial"/>
          <w:rtl w:val="0"/>
        </w:rPr>
        <w:t xml:space="preserve">Trigo aplica a la persona notaria pública. Desde el punto de vista de la función notarial, la naturaleza y finalidad del secreto profesional sí aplicaría el cuestionamiento, siempre que se tenga presenta la especificidad del ejercicio notarial.</w:t>
      </w:r>
      <w:r w:rsidDel="00000000" w:rsidR="00000000" w:rsidRPr="00000000">
        <w:rPr>
          <w:rtl w:val="0"/>
        </w:rPr>
      </w:r>
    </w:p>
    <w:p w:rsidR="00000000" w:rsidDel="00000000" w:rsidP="00000000" w:rsidRDefault="00000000" w:rsidRPr="00000000" w14:paraId="00000020">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autor </w:t>
      </w:r>
      <w:r w:rsidDel="00000000" w:rsidR="00000000" w:rsidRPr="00000000">
        <w:rPr>
          <w:rFonts w:ascii="Arial" w:cs="Arial" w:eastAsia="Arial" w:hAnsi="Arial"/>
          <w:rtl w:val="0"/>
        </w:rPr>
        <w:t xml:space="preserve">De Lezica comenta que en Argentina a raíz de las recomendaciones del GAFI se han tomado medidas y aprobado reformas que atañen en parte a las personas escribanas (denominación para notario público).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esa línea se sancionó la Ley 25.246 que modificó el Código Penal y creó la -UIF-Unidad de Información Financiera. Conforme los artículos 5 y 6 de la norma, la UIF es un organismo que funcionará con autonomía y autarquía financiera en jurisdicción del Ministerio de Justicia y cuya finalidad consistirá en el análisis, tratamiento y la transmisión de información para prevenir e impedir delitos relativos al lavado de activos y financiación del terrorismo.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La mencionada ley fue reformada, entre otras, por las Leyes 26.683 y 27.739, que en lo que aquí interesa, incorporaron el Título XIII al Código Penal relativo a los delitos contra el orden económico y financiero en el que se tipificaron las conductas señaladas precedentemente. </w:t>
      </w:r>
    </w:p>
    <w:p w:rsidR="00000000" w:rsidDel="00000000" w:rsidP="00000000" w:rsidRDefault="00000000" w:rsidRPr="00000000" w14:paraId="00000023">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Por su parte, la creación de la UIF, así como las sucesivas resoluciones dictadas por ese organismo, siguieron las directrices elaboradas en la materia por el GAFI. De ahí que el artículo 20 de la Ley 25.246 establece quienes son los sujetos obligados a los que se impone el deber de información en los términos dispuestos por la ley, la reglamentación y las resoluciones aplicables a la materia. Entre los obligados la ley alude a los escribanos, quienes, conforme al artículo 21 de la norma en cuestión, deberán informar e implementar procesos de autocontrol y revisión de operaciones que les permita la identificación de riesgos y operaciones sospechosas.”</w:t>
      </w:r>
      <w:r w:rsidDel="00000000" w:rsidR="00000000" w:rsidRPr="00000000">
        <w:rPr>
          <w:rFonts w:ascii="Arial" w:cs="Arial" w:eastAsia="Arial" w:hAnsi="Arial"/>
          <w:vertAlign w:val="superscript"/>
        </w:rPr>
        <w:footnoteReference w:customMarkFollows="0" w:id="8"/>
      </w:r>
      <w:r w:rsidDel="00000000" w:rsidR="00000000" w:rsidRPr="00000000">
        <w:rPr>
          <w:rtl w:val="0"/>
        </w:rPr>
      </w:r>
    </w:p>
    <w:p w:rsidR="00000000" w:rsidDel="00000000" w:rsidP="00000000" w:rsidRDefault="00000000" w:rsidRPr="00000000" w14:paraId="00000024">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Dentro de los sujetos obligados, dice De Lezica, se encuentran los escribanos públicos (artículo 17 de la ley mencionada en la cita anterior). Se cita al respecto lo siguiente.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Y el último párrafo de este inciso 17, dice: “Los abogados, escribanos y contadores públicos que actúan como profesionales independientes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no están obligados a reportar transacciones sospechosas si la información relevante se obtuvo en circunstancias en las que estos están sujetos al secreto profesional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26">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Como se desprende de la norma transcripta hay, al menos, dos supuestos: el primero: el del escribano que actúa en las operaciones indicadas a nombre y/o por cuenta de sus clientes y el segundo, el del escribano que actúa como profesional independiente y obtuvo la información relevante en circunstancias en las que está sujeto al secreto profesional</w:t>
      </w:r>
      <w:r w:rsidDel="00000000" w:rsidR="00000000" w:rsidRPr="00000000">
        <w:rPr>
          <w:rFonts w:ascii="Arial" w:cs="Arial" w:eastAsia="Arial" w:hAnsi="Arial"/>
          <w:rtl w:val="0"/>
        </w:rPr>
        <w:t xml:space="preserve"> [La negrita no forma parte del texto original].”</w:t>
      </w:r>
      <w:r w:rsidDel="00000000" w:rsidR="00000000" w:rsidRPr="00000000">
        <w:rPr>
          <w:rFonts w:ascii="Arial" w:cs="Arial" w:eastAsia="Arial" w:hAnsi="Arial"/>
          <w:vertAlign w:val="superscript"/>
        </w:rPr>
        <w:footnoteReference w:customMarkFollows="0" w:id="9"/>
      </w:r>
      <w:r w:rsidDel="00000000" w:rsidR="00000000" w:rsidRPr="00000000">
        <w:rPr>
          <w:rtl w:val="0"/>
        </w:rPr>
      </w:r>
    </w:p>
    <w:p w:rsidR="00000000" w:rsidDel="00000000" w:rsidP="00000000" w:rsidRDefault="00000000" w:rsidRPr="00000000" w14:paraId="00000027">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Se infiere de lo anterior que cuando los profesionales citados (entre estos el escribano público) recibe información como parte de sus funciones no está obligado a reportar transacciones sospechosas si esta se encuentra cubierta por el secreto profesional. </w:t>
      </w:r>
    </w:p>
    <w:p w:rsidR="00000000" w:rsidDel="00000000" w:rsidP="00000000" w:rsidRDefault="00000000" w:rsidRPr="00000000" w14:paraId="00000028">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La recomendación 23 del GAFI indica los profesionales que están obligados a realizar el reporte de operaciones sospechosas; para una mayor comprensión, se transcribe la disposición:</w:t>
      </w:r>
    </w:p>
    <w:p w:rsidR="00000000" w:rsidDel="00000000" w:rsidP="00000000" w:rsidRDefault="00000000" w:rsidRPr="00000000" w14:paraId="00000029">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“Los requisitos plasmados en las Recomendaciones 18 a 21 se aplican a todas las actividades y profesiones no financieras designadas, sujeto a los siguientes requisitos: (a) Debe exigirse a los abogados, notarios, otros profesionales jurídicos independientes y contadores que reporten las operaciones sospechosas cuando, en nombre de un cliente o por un cliente, se involucran en una transacción financiera con relación a las actividades descritas en el párrafo (d) de la Recomendación 22</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10"/>
      </w:r>
      <w:r w:rsidDel="00000000" w:rsidR="00000000" w:rsidRPr="00000000">
        <w:rPr>
          <w:rtl w:val="0"/>
        </w:rPr>
      </w:r>
    </w:p>
    <w:p w:rsidR="00000000" w:rsidDel="00000000" w:rsidP="00000000" w:rsidRDefault="00000000" w:rsidRPr="00000000" w14:paraId="0000002A">
      <w:pPr>
        <w:spacing w:after="160" w:before="160" w:line="360" w:lineRule="auto"/>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La nota de interpretación de la recomendación 23 aclara el alcance del secreto profesional. Importante la parte que refiere que le corresponde a cada país determinar lo que estará cubierto por el secreto profesional.</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Los abogados, notarios, otros profesionales jurídicos y contadores independientes que actúan como profesionales jurídicos independientes</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 no tienen que presentar reportes de operaciones sospechosas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si la información pertinente se obtuvo en circunstancias en las que estos están sujetos al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secreto o privilegio profesional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legal. Cada país debe determinar las cuestiones que estarían amparadas por el privilegio profesional legal o secreto profesional. Esto, en general, incluye la información que los abogados, notarios u otros profesionales jurídicos independientes reciben de uno de sus clientes o a través de uno de sus clientes: (a) en el curso de la comprobación de la situación jurídica de su cliente, o (b) en el desempeño de su tarea de defensor o representante de ese cliente en o con respecto a autos judiciales, administrativos, arbitraje o mediación.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Cuando los abogados, notarios, otros profesionales jurídicos y contadores independientes que actúan como profesionales jurídicos independientes tratan de disuadir a un cliente p</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ara que no se involucre en una actividad ilegal, esto no constituye revelación [</w:t>
      </w:r>
      <w:r w:rsidDel="00000000" w:rsidR="00000000" w:rsidRPr="00000000">
        <w:rPr>
          <w:rFonts w:ascii="Arial" w:cs="Arial" w:eastAsia="Arial" w:hAnsi="Arial"/>
          <w:b w:val="0"/>
          <w:bCs w:val="0"/>
          <w:i w:val="1"/>
          <w:iCs w:val="1"/>
          <w:smallCaps w:val="0"/>
          <w:strike w:val="0"/>
          <w:sz w:val="24"/>
          <w:szCs w:val="24"/>
          <w:u w:val="none"/>
          <w:shd w:fill="auto" w:val="clear"/>
          <w:vertAlign w:val="baseline"/>
          <w:rtl w:val="0"/>
        </w:rPr>
        <w:t xml:space="preserve">tipping-off</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[La parte en negrita no es parte del texto original].</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11"/>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Lo anterior coincide con las reformas que Argentina aprobó, que incluyen el secreto profesional, con la finalidad de esclarecer cómo </w:t>
      </w:r>
      <w:r w:rsidDel="00000000" w:rsidR="00000000" w:rsidRPr="00000000">
        <w:rPr>
          <w:rFonts w:ascii="Arial" w:cs="Arial" w:eastAsia="Arial" w:hAnsi="Arial"/>
          <w:rtl w:val="0"/>
        </w:rPr>
        <w:t xml:space="preserve">deben</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actuar los profesionales nombrados, ante las nuevas exigencias como parte del combate contra la legitimación de capitales.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orresponde de seguido explicar el escenario costarricense con respecto a las medidas jurídicas adoptadas para combatir la legitimación de capitales y otros delitos desde el ejercicio notarial.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vertAlign w:val="baseline"/>
        </w:rPr>
      </w:pP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Son varias las medidas adoptadas que implicaron nuevas disposiciones y obligaciones como mecanismos de control y contención.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highlight w:val="white"/>
          <w:u w:val="none"/>
          <w:vertAlign w:val="baseline"/>
        </w:rPr>
      </w:pP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La ley 9449 adicionó el artículo 15 ter</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a la Ley 7786 (</w:t>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Ley sobre estupefacientes, sustancias psicotrópicas, drogas de uso no autorizado, actividades conexas, legitimación de capitales y financiamiento al terrorismo)</w:t>
      </w:r>
      <w:r w:rsidDel="00000000" w:rsidR="00000000" w:rsidRPr="00000000">
        <w:rPr>
          <w:rFonts w:ascii="Arial" w:cs="Arial" w:eastAsia="Arial" w:hAnsi="Arial"/>
          <w:b w:val="0"/>
          <w:bCs w:val="0"/>
          <w:i w:val="0"/>
          <w:iCs w:val="0"/>
          <w:smallCaps w:val="0"/>
          <w:strike w:val="0"/>
          <w:sz w:val="24"/>
          <w:szCs w:val="24"/>
          <w:u w:val="none"/>
          <w:vertAlign w:val="superscript"/>
        </w:rPr>
        <w:footnoteReference w:customMarkFollows="0" w:id="12"/>
      </w:r>
      <w:r w:rsidDel="00000000" w:rsidR="00000000" w:rsidRPr="00000000">
        <w:rPr>
          <w:rFonts w:ascii="Arial" w:cs="Arial" w:eastAsia="Arial" w:hAnsi="Arial"/>
          <w:b w:val="0"/>
          <w:bCs w:val="0"/>
          <w:i w:val="0"/>
          <w:iCs w:val="0"/>
          <w:smallCaps w:val="0"/>
          <w:strike w:val="0"/>
          <w:sz w:val="24"/>
          <w:szCs w:val="24"/>
          <w:u w:val="none"/>
          <w:vertAlign w:val="baseline"/>
          <w:rtl w:val="0"/>
        </w:rPr>
        <w:t xml:space="preserve">. La Dirección Nacional de Notariado (DNN) integró, como p</w:t>
      </w: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arte de su organización, el Área de Legitimación de Capitales, Financiamiento al Terrorismo y la Proliferación de Armas de Destrucción Máxima.</w:t>
      </w:r>
      <w:r w:rsidDel="00000000" w:rsidR="00000000" w:rsidRPr="00000000">
        <w:rPr>
          <w:rFonts w:ascii="Arial" w:cs="Arial" w:eastAsia="Arial" w:hAnsi="Arial"/>
          <w:b w:val="1"/>
          <w:bCs w:val="1"/>
          <w:i w:val="0"/>
          <w:iCs w:val="0"/>
          <w:smallCaps w:val="0"/>
          <w:strike w:val="0"/>
          <w:sz w:val="24"/>
          <w:szCs w:val="24"/>
          <w:highlight w:val="white"/>
          <w:u w:val="none"/>
          <w:vertAlign w:val="baseline"/>
          <w:rtl w:val="0"/>
        </w:rPr>
        <w:t xml:space="preserve"> </w:t>
      </w: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Esta área se encarga de la prevención, la capacitación, la supervisión, el control y la sanción de las personas no</w:t>
      </w: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tarias públicas</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bCs w:val="0"/>
          <w:i w:val="0"/>
          <w:iCs w:val="0"/>
          <w:smallCaps w:val="0"/>
          <w:strike w:val="0"/>
          <w:sz w:val="24"/>
          <w:szCs w:val="24"/>
          <w:highlight w:val="white"/>
          <w:u w:val="none"/>
          <w:vertAlign w:val="superscript"/>
        </w:rPr>
        <w:footnoteReference w:customMarkFollows="0" w:id="13"/>
      </w: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32">
      <w:pPr>
        <w:spacing w:after="160" w:before="16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Cuadro 1</w:t>
      </w:r>
    </w:p>
    <w:p w:rsidR="00000000" w:rsidDel="00000000" w:rsidP="00000000" w:rsidRDefault="00000000" w:rsidRPr="00000000" w14:paraId="00000033">
      <w:pPr>
        <w:spacing w:after="160" w:before="160" w:line="360" w:lineRule="auto"/>
        <w:jc w:val="both"/>
        <w:rPr>
          <w:rFonts w:ascii="Arial" w:cs="Arial" w:eastAsia="Arial" w:hAnsi="Arial"/>
        </w:rPr>
      </w:pPr>
      <w:r w:rsidDel="00000000" w:rsidR="00000000" w:rsidRPr="00000000">
        <w:rPr>
          <w:rFonts w:ascii="Arial" w:cs="Arial" w:eastAsia="Arial" w:hAnsi="Arial"/>
          <w:b w:val="1"/>
          <w:bCs w:val="1"/>
          <w:rtl w:val="0"/>
        </w:rPr>
        <w:t xml:space="preserve">Unidades y servicios que conforman el Área de Prevención de Legitimación de capitales tomado de la Dirección Nacional de Notariado (DNN)</w:t>
      </w:r>
      <w:r w:rsidDel="00000000" w:rsidR="00000000" w:rsidRPr="00000000">
        <w:rPr>
          <w:rFonts w:ascii="Arial" w:cs="Arial" w:eastAsia="Arial" w:hAnsi="Arial"/>
          <w:b w:val="1"/>
          <w:bCs w:val="1"/>
          <w:vertAlign w:val="superscript"/>
        </w:rPr>
        <w:footnoteReference w:customMarkFollows="0" w:id="14"/>
      </w:r>
      <w:r w:rsidDel="00000000" w:rsidR="00000000" w:rsidRPr="00000000">
        <w:rPr>
          <w:rFonts w:ascii="Arial" w:cs="Arial" w:eastAsia="Arial" w:hAnsi="Arial"/>
          <w:b w:val="1"/>
          <w:bCs w:val="1"/>
          <w:rtl w:val="0"/>
        </w:rPr>
        <w:t xml:space="preserve">.</w:t>
      </w:r>
      <w:r w:rsidDel="00000000" w:rsidR="00000000" w:rsidRPr="00000000">
        <w:rPr>
          <w:rtl w:val="0"/>
        </w:rPr>
      </w:r>
    </w:p>
    <w:tbl>
      <w:tblPr>
        <w:tblStyle w:val="Table1"/>
        <w:tblW w:w="8828.0" w:type="dxa"/>
        <w:jc w:val="left"/>
        <w:tblBorders>
          <w:top w:color="f1a984" w:space="0" w:sz="4" w:val="single"/>
          <w:bottom w:color="f1a984" w:space="0" w:sz="4" w:val="single"/>
          <w:insideH w:color="f1a984" w:space="0" w:sz="4" w:val="single"/>
          <w:insideV w:color="f1a984" w:space="0" w:sz="4" w:val="single"/>
        </w:tblBorders>
        <w:tblLayout w:type="fixed"/>
        <w:tblLook w:val="04A0"/>
      </w:tblPr>
      <w:tblGrid>
        <w:gridCol w:w="4815"/>
        <w:gridCol w:w="4013"/>
        <w:tblGridChange w:id="0">
          <w:tblGrid>
            <w:gridCol w:w="4815"/>
            <w:gridCol w:w="4013"/>
          </w:tblGrid>
        </w:tblGridChange>
      </w:tblGrid>
      <w:tr>
        <w:trPr>
          <w:cantSplit w:val="0"/>
          <w:tblHeader w:val="0"/>
        </w:trPr>
        <w:tc>
          <w:tcPr/>
          <w:p w:rsidR="00000000" w:rsidDel="00000000" w:rsidP="00000000" w:rsidRDefault="00000000" w:rsidRPr="00000000" w14:paraId="00000034">
            <w:pPr>
              <w:spacing w:after="160" w:before="160" w:line="360" w:lineRule="auto"/>
              <w:jc w:val="both"/>
              <w:rPr>
                <w:rFonts w:ascii="Arial" w:cs="Arial" w:eastAsia="Arial" w:hAnsi="Arial"/>
                <w:b w:val="0"/>
                <w:bCs w:val="0"/>
              </w:rPr>
            </w:pPr>
            <w:r w:rsidDel="00000000" w:rsidR="00000000" w:rsidRPr="00000000">
              <w:rPr>
                <w:rFonts w:ascii="Arial" w:cs="Arial" w:eastAsia="Arial" w:hAnsi="Arial"/>
                <w:b w:val="0"/>
                <w:bCs w:val="0"/>
                <w:rtl w:val="0"/>
              </w:rPr>
              <w:t xml:space="preserve">Unidad de prevención (UPLCFT)</w:t>
            </w:r>
          </w:p>
        </w:tc>
        <w:tc>
          <w:tcPr/>
          <w:p w:rsidR="00000000" w:rsidDel="00000000" w:rsidP="00000000" w:rsidRDefault="00000000" w:rsidRPr="00000000" w14:paraId="00000035">
            <w:pPr>
              <w:spacing w:after="160" w:before="160" w:line="360" w:lineRule="auto"/>
              <w:jc w:val="both"/>
              <w:rPr>
                <w:rFonts w:ascii="Arial" w:cs="Arial" w:eastAsia="Arial" w:hAnsi="Arial"/>
                <w:b w:val="0"/>
                <w:bCs w:val="0"/>
              </w:rPr>
            </w:pPr>
            <w:r w:rsidDel="00000000" w:rsidR="00000000" w:rsidRPr="00000000">
              <w:rPr>
                <w:rFonts w:ascii="Arial" w:cs="Arial" w:eastAsia="Arial" w:hAnsi="Arial"/>
                <w:b w:val="0"/>
                <w:bCs w:val="0"/>
                <w:rtl w:val="0"/>
              </w:rPr>
              <w:t xml:space="preserve">Unidad de Fiscalización Notarial (UFN)</w:t>
            </w:r>
          </w:p>
        </w:tc>
      </w:tr>
      <w:tr>
        <w:trPr>
          <w:cantSplit w:val="0"/>
          <w:tblHeader w:val="0"/>
        </w:trPr>
        <w:tc>
          <w:tcPr/>
          <w:p w:rsidR="00000000" w:rsidDel="00000000" w:rsidP="00000000" w:rsidRDefault="00000000" w:rsidRPr="00000000" w14:paraId="00000036">
            <w:pPr>
              <w:spacing w:after="160" w:before="160" w:line="360" w:lineRule="auto"/>
              <w:jc w:val="both"/>
              <w:rPr>
                <w:rFonts w:ascii="Arial" w:cs="Arial" w:eastAsia="Arial" w:hAnsi="Arial"/>
                <w:b w:val="0"/>
                <w:bCs w:val="0"/>
              </w:rPr>
            </w:pPr>
            <w:r w:rsidDel="00000000" w:rsidR="00000000" w:rsidRPr="00000000">
              <w:rPr>
                <w:rFonts w:ascii="Arial" w:cs="Arial" w:eastAsia="Arial" w:hAnsi="Arial"/>
                <w:b w:val="0"/>
                <w:bCs w:val="0"/>
                <w:rtl w:val="0"/>
              </w:rPr>
              <w:t xml:space="preserve">Servicios</w:t>
            </w:r>
          </w:p>
        </w:tc>
        <w:tc>
          <w:tcPr/>
          <w:p w:rsidR="00000000" w:rsidDel="00000000" w:rsidP="00000000" w:rsidRDefault="00000000" w:rsidRPr="00000000" w14:paraId="00000037">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Servicios</w:t>
            </w:r>
          </w:p>
        </w:tc>
      </w:tr>
      <w:tr>
        <w:trPr>
          <w:cantSplit w:val="0"/>
          <w:tblHeader w:val="0"/>
        </w:trPr>
        <w:tc>
          <w:tcPr/>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Evaluaciones de riesgos</w:t>
            </w:r>
          </w:p>
        </w:tc>
        <w:tc>
          <w:tcPr/>
          <w:p w:rsidR="00000000" w:rsidDel="00000000" w:rsidP="00000000" w:rsidRDefault="00000000" w:rsidRPr="00000000" w14:paraId="00000039">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Supervisión in situ y extra situ</w:t>
            </w:r>
          </w:p>
        </w:tc>
      </w:tr>
      <w:tr>
        <w:trPr>
          <w:cantSplit w:val="0"/>
          <w:tblHeader w:val="0"/>
        </w:trPr>
        <w:tc>
          <w:tcPr/>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Recursos debida diligencia del cliente (DDC)</w:t>
            </w:r>
          </w:p>
        </w:tc>
        <w:tc>
          <w:tcPr/>
          <w:p w:rsidR="00000000" w:rsidDel="00000000" w:rsidP="00000000" w:rsidRDefault="00000000" w:rsidRPr="00000000" w14:paraId="0000003B">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Localización de notarios</w:t>
            </w:r>
          </w:p>
        </w:tc>
      </w:tr>
      <w:tr>
        <w:trPr>
          <w:cantSplit w:val="0"/>
          <w:tblHeader w:val="0"/>
        </w:trPr>
        <w:tc>
          <w:tcPr/>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Datos y estadísticas</w:t>
            </w:r>
          </w:p>
        </w:tc>
        <w:tc>
          <w:tcPr/>
          <w:p w:rsidR="00000000" w:rsidDel="00000000" w:rsidP="00000000" w:rsidRDefault="00000000" w:rsidRPr="00000000" w14:paraId="0000003D">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Recuperación de medios de seguridad</w:t>
            </w:r>
          </w:p>
        </w:tc>
      </w:tr>
      <w:tr>
        <w:trPr>
          <w:cantSplit w:val="0"/>
          <w:tblHeader w:val="0"/>
        </w:trPr>
        <w:tc>
          <w:tcPr/>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Reporte de operaciones sospechas (ROS)</w:t>
            </w:r>
          </w:p>
        </w:tc>
        <w:tc>
          <w:tcPr/>
          <w:p w:rsidR="00000000" w:rsidDel="00000000" w:rsidP="00000000" w:rsidRDefault="00000000" w:rsidRPr="00000000" w14:paraId="0000003F">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Atención de quejas y reportes de notarios</w:t>
            </w:r>
          </w:p>
        </w:tc>
      </w:tr>
    </w:tbl>
    <w:p w:rsidR="00000000" w:rsidDel="00000000" w:rsidP="00000000" w:rsidRDefault="00000000" w:rsidRPr="00000000" w14:paraId="00000040">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Otros servicios dispuestos por la Dirección Nacional de Notariado (DNN), como parte del apoyo a la persona notaria, son: la actualización en materia de Legitimación de capitales, las reglas, las guías y recomendaciones del Grupo de Acción Financiera, disposiciones, normas y reglamentos emitidos en esta materia, por ejemplo, la reglamentación de los artículos 15 bis y 15 ter de la </w:t>
      </w:r>
      <w:r w:rsidDel="00000000" w:rsidR="00000000" w:rsidRPr="00000000">
        <w:rPr>
          <w:rFonts w:ascii="Arial" w:cs="Arial" w:eastAsia="Arial" w:hAnsi="Arial"/>
          <w:rtl w:val="0"/>
        </w:rPr>
        <w:t xml:space="preserve">Ley 7786 (Decreto Ejecutivo 41016-MP-MH-MSP-MJP) </w:t>
      </w:r>
      <w:r w:rsidDel="00000000" w:rsidR="00000000" w:rsidRPr="00000000">
        <w:rPr>
          <w:rFonts w:ascii="Arial" w:cs="Arial" w:eastAsia="Arial" w:hAnsi="Arial"/>
          <w:rtl w:val="0"/>
        </w:rPr>
        <w:t xml:space="preserve">y </w:t>
      </w:r>
      <w:r w:rsidDel="00000000" w:rsidR="00000000" w:rsidRPr="00000000">
        <w:rPr>
          <w:rFonts w:ascii="Arial" w:cs="Arial" w:eastAsia="Arial" w:hAnsi="Arial"/>
          <w:rtl w:val="0"/>
        </w:rPr>
        <w:t xml:space="preserve">los Lineamientos para la aplicación del artículo 15 ter de la Ley 7786</w:t>
      </w:r>
      <w:r w:rsidDel="00000000" w:rsidR="00000000" w:rsidRPr="00000000">
        <w:rPr>
          <w:rFonts w:ascii="Arial" w:cs="Arial" w:eastAsia="Arial" w:hAnsi="Arial"/>
          <w:vertAlign w:val="superscript"/>
        </w:rPr>
        <w:footnoteReference w:customMarkFollows="0" w:id="15"/>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Otro servicio es de Evaluaciones de Riesgos que se especializa en la información acerca de las diferentes evaluaciones de riesgos importantes dentro de la actividad notarial, tales como identificación, determinación y control de riesgos relacionado con el lavado de dinero.</w:t>
      </w:r>
    </w:p>
    <w:p w:rsidR="00000000" w:rsidDel="00000000" w:rsidP="00000000" w:rsidRDefault="00000000" w:rsidRPr="00000000" w14:paraId="00000042">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La Dirección Nacional de Notariado aconseja a las personas notarias que se registren (de forma gratuita) en la plataforma de la Unidad de Inteligencia Financiera (UIF) Reportes de la Unidad de Operaciones Sospechas (ROS) como parte del ejercicio del ejercicio notarial</w:t>
      </w:r>
      <w:r w:rsidDel="00000000" w:rsidR="00000000" w:rsidRPr="00000000">
        <w:rPr>
          <w:rFonts w:ascii="Arial" w:cs="Arial" w:eastAsia="Arial" w:hAnsi="Arial"/>
          <w:vertAlign w:val="superscript"/>
        </w:rPr>
        <w:footnoteReference w:customMarkFollows="0" w:id="16"/>
      </w:r>
      <w:r w:rsidDel="00000000" w:rsidR="00000000" w:rsidRPr="00000000">
        <w:rPr>
          <w:rFonts w:ascii="Arial" w:cs="Arial" w:eastAsia="Arial" w:hAnsi="Arial"/>
          <w:rtl w:val="0"/>
        </w:rPr>
        <w:t xml:space="preserve">.</w:t>
      </w:r>
    </w:p>
    <w:p w:rsidR="00000000" w:rsidDel="00000000" w:rsidP="00000000" w:rsidRDefault="00000000" w:rsidRPr="00000000" w14:paraId="00000043">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Una de las obligaciones más relevantes es que, al ser un sujeto obligado bajo </w:t>
      </w:r>
      <w:r w:rsidDel="00000000" w:rsidR="00000000" w:rsidRPr="00000000">
        <w:rPr>
          <w:rFonts w:ascii="Arial" w:cs="Arial" w:eastAsia="Arial" w:hAnsi="Arial"/>
          <w:rtl w:val="0"/>
        </w:rPr>
        <w:t xml:space="preserve">los alcances de la Ley 7786 y sus reformas</w:t>
      </w:r>
      <w:r w:rsidDel="00000000" w:rsidR="00000000" w:rsidRPr="00000000">
        <w:rPr>
          <w:rFonts w:ascii="Arial" w:cs="Arial" w:eastAsia="Arial" w:hAnsi="Arial"/>
          <w:rtl w:val="0"/>
        </w:rPr>
        <w:t xml:space="preserve">, debe cumplir con la Debida diligencia del cliente (DDC), esta es una acción preventiva ante la problemática de la Legitimación de capitales</w:t>
      </w:r>
      <w:r w:rsidDel="00000000" w:rsidR="00000000" w:rsidRPr="00000000">
        <w:rPr>
          <w:rFonts w:ascii="Arial" w:cs="Arial" w:eastAsia="Arial" w:hAnsi="Arial"/>
          <w:vertAlign w:val="superscript"/>
        </w:rPr>
        <w:footnoteReference w:customMarkFollows="0" w:id="17"/>
      </w:r>
      <w:r w:rsidDel="00000000" w:rsidR="00000000" w:rsidRPr="00000000">
        <w:rPr>
          <w:rFonts w:ascii="Arial" w:cs="Arial" w:eastAsia="Arial" w:hAnsi="Arial"/>
          <w:rtl w:val="0"/>
        </w:rPr>
        <w:t xml:space="preserve">. Se citan algunos aspectos que la Dirección Nacional </w:t>
      </w:r>
      <w:r w:rsidDel="00000000" w:rsidR="00000000" w:rsidRPr="00000000">
        <w:rPr>
          <w:rFonts w:ascii="Arial" w:cs="Arial" w:eastAsia="Arial" w:hAnsi="Arial"/>
          <w:rtl w:val="0"/>
        </w:rPr>
        <w:t xml:space="preserve">de Notariado considera que se deben incluir en esta práctica, según las recomendaciones del Grupo de Acción Financiera Internacional (GAFI)</w:t>
      </w:r>
      <w:r w:rsidDel="00000000" w:rsidR="00000000" w:rsidRPr="00000000">
        <w:rPr>
          <w:rFonts w:ascii="Arial" w:cs="Arial" w:eastAsia="Arial" w:hAnsi="Arial"/>
          <w:vertAlign w:val="superscript"/>
        </w:rPr>
        <w:footnoteReference w:customMarkFollows="0" w:id="18"/>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1069"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Recopilación de la información y datos necesarios para identificar al usuario (s).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1069"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Determinar si actúa por cuenta propia o en nombre de un tercero.</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1069"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Diligencia continua y examinar transacciones.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1069" w:right="0" w:hanging="360"/>
        <w:jc w:val="both"/>
        <w:rPr>
          <w:rFonts w:ascii="Arial" w:cs="Arial" w:eastAsia="Arial" w:hAnsi="Arial"/>
          <w:b w:val="0"/>
          <w:bCs w:val="0"/>
          <w:i w:val="0"/>
          <w:iCs w:val="0"/>
          <w:smallCaps w:val="0"/>
          <w:strike w:val="0"/>
          <w:sz w:val="24"/>
          <w:szCs w:val="24"/>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Mantener datos actualizados y pertinentes.</w:t>
      </w:r>
    </w:p>
    <w:p w:rsidR="00000000" w:rsidDel="00000000" w:rsidP="00000000" w:rsidRDefault="00000000" w:rsidRPr="00000000" w14:paraId="00000048">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La obligación de identificar al usuario (s) tiene relación directa con el deber con lo regulado en los artículos </w:t>
      </w:r>
      <w:r w:rsidDel="00000000" w:rsidR="00000000" w:rsidRPr="00000000">
        <w:rPr>
          <w:rFonts w:ascii="Arial" w:cs="Arial" w:eastAsia="Arial" w:hAnsi="Arial"/>
          <w:rtl w:val="0"/>
        </w:rPr>
        <w:t xml:space="preserve">39,83,84,85 y 95 del Código Notarial,</w:t>
      </w:r>
      <w:r w:rsidDel="00000000" w:rsidR="00000000" w:rsidRPr="00000000">
        <w:rPr>
          <w:rFonts w:ascii="Arial" w:cs="Arial" w:eastAsia="Arial" w:hAnsi="Arial"/>
          <w:rtl w:val="0"/>
        </w:rPr>
        <w:t xml:space="preserve"> con mayores exigencias en la actualidad a nivel práctico</w:t>
      </w:r>
      <w:r w:rsidDel="00000000" w:rsidR="00000000" w:rsidRPr="00000000">
        <w:rPr>
          <w:rFonts w:ascii="Arial" w:cs="Arial" w:eastAsia="Arial" w:hAnsi="Arial"/>
          <w:vertAlign w:val="superscript"/>
        </w:rPr>
        <w:footnoteReference w:customMarkFollows="0" w:id="19"/>
      </w:r>
      <w:r w:rsidDel="00000000" w:rsidR="00000000" w:rsidRPr="00000000">
        <w:rPr>
          <w:rFonts w:ascii="Arial" w:cs="Arial" w:eastAsia="Arial" w:hAnsi="Arial"/>
          <w:rtl w:val="0"/>
        </w:rPr>
        <w:t xml:space="preserve">. Algunos de los mecanismos que la persona notaria debe integrar a su actividad para cumplir adecuadamente con la obligación de la Debida diligencia del cliente (DDC).</w:t>
      </w:r>
    </w:p>
    <w:p w:rsidR="00000000" w:rsidDel="00000000" w:rsidP="00000000" w:rsidRDefault="00000000" w:rsidRPr="00000000" w14:paraId="00000049">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rtl w:val="0"/>
        </w:rPr>
        <w:t xml:space="preserve">Usted identifica y conoce al cliente, sabe cómo hacerlo.</w:t>
      </w:r>
      <w:r w:rsidDel="00000000" w:rsidR="00000000" w:rsidRPr="00000000">
        <w:rPr>
          <w:rFonts w:ascii="Arial" w:cs="Arial" w:eastAsia="Arial" w:hAnsi="Arial"/>
          <w:rtl w:val="0"/>
        </w:rPr>
        <w:t xml:space="preserve"> De acuerdo con el Reglamento N.º 41016, los notarios identificarán al usuario o persona requirente de acuerdo con las responsabilidades establecidas en los artículos 39, 83, 84, 85 y 95 del Código Notarial, así como los lineamientos y disposiciones establecidas por la Dirección Nacional de Notariado.</w:t>
      </w:r>
    </w:p>
    <w:p w:rsidR="00000000" w:rsidDel="00000000" w:rsidP="00000000" w:rsidRDefault="00000000" w:rsidRPr="00000000" w14:paraId="0000004A">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Esto implica, a su vez, que el notario </w:t>
      </w:r>
      <w:r w:rsidDel="00000000" w:rsidR="00000000" w:rsidRPr="00000000">
        <w:rPr>
          <w:rFonts w:ascii="Arial" w:cs="Arial" w:eastAsia="Arial" w:hAnsi="Arial"/>
          <w:u w:val="single"/>
          <w:rtl w:val="0"/>
        </w:rPr>
        <w:t xml:space="preserve">conoce y ejecuta</w:t>
      </w:r>
      <w:r w:rsidDel="00000000" w:rsidR="00000000" w:rsidRPr="00000000">
        <w:rPr>
          <w:rFonts w:ascii="Arial" w:cs="Arial" w:eastAsia="Arial" w:hAnsi="Arial"/>
          <w:rtl w:val="0"/>
        </w:rPr>
        <w:t xml:space="preserve"> a cabalidad los procedimientos diferenciados para identificar -sin lugar a dudas- personas físicas nacionales, personas físicas extranjeras, apoderados que actúan a nombre de un tercero, así como quienes intervienen en representación de estructuras jurídicas, verificando la existencia legal y vigencia de los respectivos mandatos y/o representaciones; además de conservar toda la documentación recabada al efecto en su archivo de referencias.</w:t>
      </w:r>
    </w:p>
    <w:p w:rsidR="00000000" w:rsidDel="00000000" w:rsidP="00000000" w:rsidRDefault="00000000" w:rsidRPr="00000000" w14:paraId="0000004B">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b w:val="1"/>
          <w:bCs w:val="1"/>
          <w:rtl w:val="0"/>
        </w:rPr>
        <w:t xml:space="preserve">Tiene mecanismos de DD reforzada en situaciones de riego</w:t>
      </w:r>
      <w:r w:rsidDel="00000000" w:rsidR="00000000" w:rsidRPr="00000000">
        <w:rPr>
          <w:rFonts w:ascii="Arial" w:cs="Arial" w:eastAsia="Arial" w:hAnsi="Arial"/>
          <w:rtl w:val="0"/>
        </w:rPr>
        <w:t xml:space="preserve">. Según la Guía Tipologías de Riesgo y Elementos de la Debida Diligencia y Riesgos (2023) de la Unidad de Inteligencia Financiera (UIF) de Costa Rica, esto implica una verificación más profunda, donde el notario debe identificar y documentar el movimiento del dinero y determinar si hay irregularidades producto de una eventual “actividad ilícita”. Algunos indicios útiles son: a) el cliente conoce del negocio; b) la transacción o lugar del acto es inusual o sospechoso; c) quien paga no decide por cuenta propia / consulta. Se trata de tener claro el vínculo entre el origen del dinero, los beneficiarios, cuándo el dinero se recibe y dónde se almacena o se deposita</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20"/>
      </w:r>
      <w:r w:rsidDel="00000000" w:rsidR="00000000" w:rsidRPr="00000000">
        <w:rPr>
          <w:rFonts w:ascii="Arial" w:cs="Arial" w:eastAsia="Arial" w:hAnsi="Arial"/>
          <w:rtl w:val="0"/>
        </w:rPr>
        <w:t xml:space="preserve">.</w:t>
      </w:r>
    </w:p>
    <w:p w:rsidR="00000000" w:rsidDel="00000000" w:rsidP="00000000" w:rsidRDefault="00000000" w:rsidRPr="00000000" w14:paraId="0000004C">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Cuando a la persona notaria no le es posible completar la DDC, la Dirección Nacional de Notariado dispone que debe excusarse de prestar el servicio, según lo autoriza el </w:t>
      </w:r>
      <w:r w:rsidDel="00000000" w:rsidR="00000000" w:rsidRPr="00000000">
        <w:rPr>
          <w:rFonts w:ascii="Arial" w:cs="Arial" w:eastAsia="Arial" w:hAnsi="Arial"/>
          <w:rtl w:val="0"/>
        </w:rPr>
        <w:t xml:space="preserve">Código Notarial (artículo 36)</w:t>
      </w:r>
      <w:r w:rsidDel="00000000" w:rsidR="00000000" w:rsidRPr="00000000">
        <w:rPr>
          <w:rFonts w:ascii="Arial" w:cs="Arial" w:eastAsia="Arial" w:hAnsi="Arial"/>
          <w:rtl w:val="0"/>
        </w:rPr>
        <w:t xml:space="preserve"> y el </w:t>
      </w:r>
      <w:r w:rsidDel="00000000" w:rsidR="00000000" w:rsidRPr="00000000">
        <w:rPr>
          <w:rFonts w:ascii="Arial" w:cs="Arial" w:eastAsia="Arial" w:hAnsi="Arial"/>
          <w:rtl w:val="0"/>
        </w:rPr>
        <w:t xml:space="preserve">Decreto Ejecutivo 41016 artículo 19</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Reglamentación de los artículos 15 bis y 15 ter de la ley No 7786 Ley sobre estupefacientes, sustancias psicotrópicas, drogas de uso no autorizado, actividades conexas, legitimación de capitales y financiamiento al terrorismo)</w:t>
      </w:r>
      <w:r w:rsidDel="00000000" w:rsidR="00000000" w:rsidRPr="00000000">
        <w:rPr>
          <w:rFonts w:ascii="Arial" w:cs="Arial" w:eastAsia="Arial" w:hAnsi="Arial"/>
          <w:highlight w:val="white"/>
          <w:vertAlign w:val="superscript"/>
        </w:rPr>
        <w:footnoteReference w:customMarkFollows="0" w:id="21"/>
      </w: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De acuerdo con la normativa, en caso de no cumplir la parte a cabalidad con el requerimiento de información por parte del notario, éste tiene el deber legal de excusarse a prestar el servicio, tal y como lo establece claramente el artículo 36 del Código Notarial Ley N.º 7764 en relación con el ordinal 19 del Decreto Ejecutivo N.º 41016- MP- MH- MSP-MJP. Y, además, si percibe que la transacción contiene elementos suficientes de sospecha, interponer el ROS ante la Unidad de Inteligencia Financiera (UIF)” </w:t>
      </w:r>
      <w:r w:rsidDel="00000000" w:rsidR="00000000" w:rsidRPr="00000000">
        <w:rPr>
          <w:rFonts w:ascii="Arial" w:cs="Arial" w:eastAsia="Arial" w:hAnsi="Arial"/>
          <w:vertAlign w:val="superscript"/>
        </w:rPr>
        <w:footnoteReference w:customMarkFollows="0" w:id="22"/>
      </w:r>
      <w:r w:rsidDel="00000000" w:rsidR="00000000" w:rsidRPr="00000000">
        <w:rPr>
          <w:rFonts w:ascii="Arial" w:cs="Arial" w:eastAsia="Arial" w:hAnsi="Arial"/>
          <w:rtl w:val="0"/>
        </w:rPr>
        <w:t xml:space="preserve">.</w:t>
      </w:r>
    </w:p>
    <w:p w:rsidR="00000000" w:rsidDel="00000000" w:rsidP="00000000" w:rsidRDefault="00000000" w:rsidRPr="00000000" w14:paraId="0000004E">
      <w:pPr>
        <w:spacing w:after="160" w:before="160" w:line="360" w:lineRule="auto"/>
        <w:ind w:firstLine="709"/>
        <w:jc w:val="both"/>
        <w:rPr>
          <w:rFonts w:ascii="Arial" w:cs="Arial" w:eastAsia="Arial" w:hAnsi="Arial"/>
          <w:b w:val="1"/>
          <w:bCs w:val="1"/>
        </w:rPr>
      </w:pPr>
      <w:r w:rsidDel="00000000" w:rsidR="00000000" w:rsidRPr="00000000">
        <w:rPr>
          <w:rFonts w:ascii="Arial" w:cs="Arial" w:eastAsia="Arial" w:hAnsi="Arial"/>
          <w:rtl w:val="0"/>
        </w:rPr>
        <w:t xml:space="preserve">El artículo 19 del decreto mencionado indica </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prohibición de entablar o mantener relaciones bajo situaciones de anonimato o nombres ficticios”</w:t>
      </w:r>
      <w:r w:rsidDel="00000000" w:rsidR="00000000" w:rsidRPr="00000000">
        <w:rPr>
          <w:rFonts w:ascii="Arial" w:cs="Arial" w:eastAsia="Arial" w:hAnsi="Arial"/>
          <w:vertAlign w:val="superscript"/>
        </w:rPr>
        <w:footnoteReference w:customMarkFollows="0" w:id="23"/>
      </w:r>
      <w:r w:rsidDel="00000000" w:rsidR="00000000" w:rsidRPr="00000000">
        <w:rPr>
          <w:rFonts w:ascii="Arial" w:cs="Arial" w:eastAsia="Arial" w:hAnsi="Arial"/>
          <w:rtl w:val="0"/>
        </w:rPr>
        <w:t xml:space="preserve">. De seguido, </w:t>
      </w:r>
      <w:r w:rsidDel="00000000" w:rsidR="00000000" w:rsidRPr="00000000">
        <w:rPr>
          <w:rFonts w:ascii="Arial" w:cs="Arial" w:eastAsia="Arial" w:hAnsi="Arial"/>
          <w:rtl w:val="0"/>
        </w:rPr>
        <w:t xml:space="preserve">establece</w:t>
      </w:r>
      <w:r w:rsidDel="00000000" w:rsidR="00000000" w:rsidRPr="00000000">
        <w:rPr>
          <w:rFonts w:ascii="Arial" w:cs="Arial" w:eastAsia="Arial" w:hAnsi="Arial"/>
          <w:rtl w:val="0"/>
        </w:rPr>
        <w:t xml:space="preserve"> que “los notarios se </w:t>
      </w:r>
      <w:r w:rsidDel="00000000" w:rsidR="00000000" w:rsidRPr="00000000">
        <w:rPr>
          <w:rFonts w:ascii="Arial" w:cs="Arial" w:eastAsia="Arial" w:hAnsi="Arial"/>
          <w:rtl w:val="0"/>
        </w:rPr>
        <w:t xml:space="preserve">excusarán</w:t>
      </w:r>
      <w:r w:rsidDel="00000000" w:rsidR="00000000" w:rsidRPr="00000000">
        <w:rPr>
          <w:rFonts w:ascii="Arial" w:cs="Arial" w:eastAsia="Arial" w:hAnsi="Arial"/>
          <w:rtl w:val="0"/>
        </w:rPr>
        <w:t xml:space="preserve"> de brindar el servicio cuando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bajo su responsabilidad estimen que la actuación es ilegítima o ineficaz de conformidad con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el ordenamiento jurídico o cuando los interesados no se identifiquen adecuadamente”. La redacción no difiere de la establecida en el </w:t>
      </w:r>
      <w:r w:rsidDel="00000000" w:rsidR="00000000" w:rsidRPr="00000000">
        <w:rPr>
          <w:rFonts w:ascii="Arial" w:cs="Arial" w:eastAsia="Arial" w:hAnsi="Arial"/>
          <w:rtl w:val="0"/>
        </w:rPr>
        <w:t xml:space="preserve">artículo 36 del Código Notarial</w:t>
      </w:r>
      <w:r w:rsidDel="00000000" w:rsidR="00000000" w:rsidRPr="00000000">
        <w:rPr>
          <w:rFonts w:ascii="Arial" w:cs="Arial" w:eastAsia="Arial" w:hAnsi="Arial"/>
          <w:rtl w:val="0"/>
        </w:rPr>
        <w:t xml:space="preserve">, segundo párrafo</w:t>
      </w:r>
      <w:r w:rsidDel="00000000" w:rsidR="00000000" w:rsidRPr="00000000">
        <w:rPr>
          <w:rFonts w:ascii="Arial" w:cs="Arial" w:eastAsia="Arial" w:hAnsi="Arial"/>
          <w:vertAlign w:val="superscript"/>
        </w:rPr>
        <w:footnoteReference w:customMarkFollows="0" w:id="24"/>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F">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Como puede observarse las medidas tomadas por la Dirección Nacional de Notariado (DNN), en coordinación con otras instituciones, se ajustan a las necesidades y requerimientos actuales a nivel internacional, que demandan una estrategia nacional coordinada y estructurada.</w:t>
      </w:r>
    </w:p>
    <w:p w:rsidR="00000000" w:rsidDel="00000000" w:rsidP="00000000" w:rsidRDefault="00000000" w:rsidRPr="00000000" w14:paraId="00000050">
      <w:pP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“La Estrategia Nacional, es un producto que se enmarca en las Recomendaciones 1 y 2 del Grupo de Acción Financiera Internacional (GAFI), entendiéndose como el mecanismo que propone y ordena el esfuerzo estatal de manera más eficiente, efectiva y coordinada. En el caso particular de Costa Rica, al estar atendiendo paralelamente el proceso de evaluación mutua del GAFILAT, la Estrategia Nacional permite abordar las principales recomendaciones de los evaluadores de manera estratégica aspirando a lograr el cumplimiento efectivo de las mismas de manera eficiente. Asimismo, la Estrategia Nacional constituye un instrumento para concientizar a los actores del sistema ALC/CFT e impulsar reformas profundas que en forma aislada resultarían más complicadas de implementar. La Estrategia orienta a su vez al trabajo conjunto permitiendo que los recursos públicos sean aprovechados de manera más eficiente</w:t>
      </w:r>
      <w:r w:rsidDel="00000000" w:rsidR="00000000" w:rsidRPr="00000000">
        <w:rPr>
          <w:rFonts w:ascii="Arial" w:cs="Arial" w:eastAsia="Arial" w:hAnsi="Arial"/>
          <w:vertAlign w:val="superscript"/>
        </w:rPr>
        <w:footnoteReference w:customMarkFollows="0" w:id="25"/>
      </w:r>
      <w:r w:rsidDel="00000000" w:rsidR="00000000" w:rsidRPr="00000000">
        <w:rPr>
          <w:rFonts w:ascii="Arial" w:cs="Arial" w:eastAsia="Arial" w:hAnsi="Arial"/>
          <w:rtl w:val="0"/>
        </w:rPr>
        <w:t xml:space="preserve">.</w:t>
      </w:r>
    </w:p>
    <w:p w:rsidR="00000000" w:rsidDel="00000000" w:rsidP="00000000" w:rsidRDefault="00000000" w:rsidRPr="00000000" w14:paraId="00000051">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En efecto la coordinación, articulación del trabajo conjunto entre instituciones resulta clave ante una problemática delictiva mencionada, criminalidad qué cuenta con recursos económicos y logísticos de consideración y que por tanto no se puede atacar como si se tratara de delincuencia común. </w:t>
      </w:r>
    </w:p>
    <w:p w:rsidR="00000000" w:rsidDel="00000000" w:rsidP="00000000" w:rsidRDefault="00000000" w:rsidRPr="00000000" w14:paraId="00000052">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artículo 15 ter</w:t>
      </w:r>
      <w:r w:rsidDel="00000000" w:rsidR="00000000" w:rsidRPr="00000000">
        <w:rPr>
          <w:rFonts w:ascii="Arial" w:cs="Arial" w:eastAsia="Arial" w:hAnsi="Arial"/>
          <w:rtl w:val="0"/>
        </w:rPr>
        <w:t xml:space="preserve"> refiere que los notarios públicos de forma obligatoria deben acatar las disposiciones de la Dirección Nacional de Notariado en coordinación con la Unidad de Inteligencia Financiera, con respecto a la prevención y lucha contra la legitimación de capitales, entre otras conductas delictivas</w:t>
      </w:r>
      <w:r w:rsidDel="00000000" w:rsidR="00000000" w:rsidRPr="00000000">
        <w:rPr>
          <w:rFonts w:ascii="Arial" w:cs="Arial" w:eastAsia="Arial" w:hAnsi="Arial"/>
          <w:vertAlign w:val="superscript"/>
        </w:rPr>
        <w:footnoteReference w:customMarkFollows="0" w:id="26"/>
      </w:r>
      <w:r w:rsidDel="00000000" w:rsidR="00000000" w:rsidRPr="00000000">
        <w:rPr>
          <w:rFonts w:ascii="Arial" w:cs="Arial" w:eastAsia="Arial" w:hAnsi="Arial"/>
          <w:rtl w:val="0"/>
        </w:rPr>
        <w:t xml:space="preserve">. Además, se establece la obligación de brindar acceso a la documentación e información que </w:t>
      </w:r>
      <w:r w:rsidDel="00000000" w:rsidR="00000000" w:rsidRPr="00000000">
        <w:rPr>
          <w:rFonts w:ascii="Arial" w:cs="Arial" w:eastAsia="Arial" w:hAnsi="Arial"/>
          <w:rtl w:val="0"/>
        </w:rPr>
        <w:t xml:space="preserve">estos</w:t>
      </w:r>
      <w:r w:rsidDel="00000000" w:rsidR="00000000" w:rsidRPr="00000000">
        <w:rPr>
          <w:rFonts w:ascii="Arial" w:cs="Arial" w:eastAsia="Arial" w:hAnsi="Arial"/>
          <w:rtl w:val="0"/>
        </w:rPr>
        <w:t xml:space="preserve"> dos entes le soliciten. </w:t>
      </w:r>
      <w:r w:rsidDel="00000000" w:rsidR="00000000" w:rsidRPr="00000000">
        <w:rPr>
          <w:rFonts w:ascii="Arial" w:cs="Arial" w:eastAsia="Arial" w:hAnsi="Arial"/>
          <w:rtl w:val="0"/>
        </w:rPr>
        <w:t xml:space="preserve">Este artículo vino a ampliar lo que estipula el artículo 46 del Código Notarial respecto a la obligación notarial de mostrar el protocolo (del cual tiene custodia) cuando le es requerido lo que contempla, terceros, autoridades judiciales, la Dirección de Notariado y el Archivo Nacional</w:t>
      </w:r>
      <w:r w:rsidDel="00000000" w:rsidR="00000000" w:rsidRPr="00000000">
        <w:rPr>
          <w:rFonts w:ascii="Arial" w:cs="Arial" w:eastAsia="Arial" w:hAnsi="Arial"/>
          <w:rtl w:val="0"/>
        </w:rPr>
        <w:t xml:space="preserve">.</w:t>
      </w:r>
    </w:p>
    <w:p w:rsidR="00000000" w:rsidDel="00000000" w:rsidP="00000000" w:rsidRDefault="00000000" w:rsidRPr="00000000" w14:paraId="00000053">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gremio de las personas notarias, como grupo vulnerable, ante un panorama complejo y delicado, debe contar con reglas y respaldos legales claros para actuar y así evitar incurrir en responsabilidad penal, civil y disciplinaria. La Dirección Nacional de Notariado juega un papel fundamental, ante los alcances de la Ley 7786 como parte inherente de la actividad notarial.</w:t>
      </w:r>
    </w:p>
    <w:p w:rsidR="00000000" w:rsidDel="00000000" w:rsidP="00000000" w:rsidRDefault="00000000" w:rsidRPr="00000000" w14:paraId="00000054">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Dentro de este contexto de nuevas exigencias y obligaciones notariales, la manera en que se analice el delito de Divulgación de Secreto Profesional, a nivel práctico-judicial ameritaría un estudio que integre estos cambios. Las consecuencias para la persona notaria por no cumplir con la obligación y deber de guardar el secreto profesional puede tener consecuencias serias, dado que </w:t>
      </w:r>
      <w:r w:rsidDel="00000000" w:rsidR="00000000" w:rsidRPr="00000000">
        <w:rPr>
          <w:rFonts w:ascii="Arial" w:cs="Arial" w:eastAsia="Arial" w:hAnsi="Arial"/>
          <w:rtl w:val="0"/>
        </w:rPr>
        <w:t xml:space="preserve">de conformidad con el artículo 15 del Código Notarial</w:t>
      </w:r>
      <w:r w:rsidDel="00000000" w:rsidR="00000000" w:rsidRPr="00000000">
        <w:rPr>
          <w:rFonts w:ascii="Arial" w:cs="Arial" w:eastAsia="Arial" w:hAnsi="Arial"/>
          <w:rtl w:val="0"/>
        </w:rPr>
        <w:t xml:space="preserve">, la persona notaria pública puede tener responsabilidad penal, civil y disciplinaria, cuando se compruebe que ha incurrido en faltas. </w:t>
      </w:r>
    </w:p>
    <w:p w:rsidR="00000000" w:rsidDel="00000000" w:rsidP="00000000" w:rsidRDefault="00000000" w:rsidRPr="00000000" w14:paraId="00000055">
      <w:pPr>
        <w:spacing w:after="160" w:before="160" w:line="360" w:lineRule="auto"/>
        <w:ind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En cuanto al </w:t>
      </w:r>
      <w:r w:rsidDel="00000000" w:rsidR="00000000" w:rsidRPr="00000000">
        <w:rPr>
          <w:rFonts w:ascii="Arial" w:cs="Arial" w:eastAsia="Arial" w:hAnsi="Arial"/>
          <w:rtl w:val="0"/>
        </w:rPr>
        <w:t xml:space="preserve">tipo penal de Divulgación de secretos regula en el Código Penal costarricense</w:t>
      </w:r>
      <w:r w:rsidDel="00000000" w:rsidR="00000000" w:rsidRPr="00000000">
        <w:rPr>
          <w:rFonts w:ascii="Arial" w:cs="Arial" w:eastAsia="Arial" w:hAnsi="Arial"/>
          <w:rtl w:val="0"/>
        </w:rPr>
        <w:t xml:space="preserve"> se abordará el estudio de seguido, enfocado en la actividad notarial, no se entrará en detalles de otros supuestos del tipo penal objetivo.</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rtl w:val="0"/>
        </w:rPr>
        <w:t xml:space="preserve">3.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El tipo penal de </w:t>
      </w: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ivulgación de secretos en el Código Penal costarricense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Código Penal regula la conducta de divulgar un secreto</w:t>
      </w:r>
      <w:r w:rsidDel="00000000" w:rsidR="00000000" w:rsidRPr="00000000">
        <w:rPr>
          <w:rFonts w:ascii="Arial" w:cs="Arial" w:eastAsia="Arial" w:hAnsi="Arial"/>
          <w:rtl w:val="0"/>
        </w:rPr>
        <w:t xml:space="preserve"> como:</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el que, teniendo noticias por razón de su estado, oficio o empleo, profesión o arte, de un secreto cuya divulgación puede causar daño, lo revele sin justa causa</w:t>
      </w:r>
      <w:r w:rsidDel="00000000" w:rsidR="00000000" w:rsidRPr="00000000">
        <w:rPr>
          <w:rFonts w:ascii="Arial" w:cs="Arial" w:eastAsia="Arial" w:hAnsi="Arial"/>
          <w:b w:val="1"/>
          <w:bCs w:val="1"/>
          <w:i w:val="0"/>
          <w:iCs w:val="0"/>
          <w:smallCaps w:val="0"/>
          <w:strike w:val="0"/>
          <w:sz w:val="24"/>
          <w:szCs w:val="24"/>
          <w:u w:val="none"/>
          <w:shd w:fill="auto" w:val="clear"/>
          <w:vertAlign w:val="superscript"/>
        </w:rPr>
        <w:footnoteReference w:customMarkFollows="0" w:id="27"/>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Adiciona el tipo penal que “sí se trata de un funcionario público o de un profesional se impondrá, además de inhabilitación para el ejercicio de cargos y oficios públicos, o de profesiones titulares (primer párrafo)</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Para el análisis del tipo penal se seguirá el orden establecido por la teoría del delito, según se puede apreciar en la siguiente figura. Se hace la salvedad que no se dará una explicación de cada elemento de la teoría del delito por no formar parte de este estudio. También se aclara que no es objeto de esta disertación el segundo párrafo del tipo penal analizado.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Pr>
        <w:drawing>
          <wp:inline distB="0" distT="0" distL="0" distR="0">
            <wp:extent cx="5259518" cy="3169002"/>
            <wp:effectExtent b="0" l="0" r="0" t="0"/>
            <wp:docPr id="17943334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59518" cy="3169002"/>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Figura 1. Esquema de los elementos de la </w:t>
      </w:r>
      <w:r w:rsidDel="00000000" w:rsidR="00000000" w:rsidRPr="00000000">
        <w:rPr>
          <w:rFonts w:ascii="Arial" w:cs="Arial" w:eastAsia="Arial" w:hAnsi="Arial"/>
          <w:b w:val="1"/>
          <w:bCs w:val="1"/>
          <w:rtl w:val="0"/>
        </w:rPr>
        <w:t xml:space="preserve">t</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eoría del delito.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bien jurídico es el ámbito de la intimidad que se fundamenta en el respeto a la privacidad de las personas, como derecho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establecido en el artículo 24 de la Constitución Política</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28"/>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1"/>
          <w:bCs w:val="1"/>
          <w:i w:val="0"/>
          <w:iCs w:val="0"/>
          <w:smallCaps w:val="0"/>
          <w:strike w:val="0"/>
          <w:sz w:val="24"/>
          <w:szCs w:val="24"/>
          <w:u w:val="none"/>
          <w:shd w:fill="auto" w:val="clear"/>
          <w:vertAlign w:val="baseline"/>
        </w:rPr>
      </w:pPr>
      <w:bookmarkStart w:colFirst="0" w:colLast="0" w:name="_heading=h.1kp3kfuyqjvg" w:id="0"/>
      <w:bookmarkEnd w:id="0"/>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Con respecto al sujeto activo, no es cualquier persona, es un delito especial propio. En otras palabras, solo puede ser autor quien ostente cierta condición.</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Dentro de las personas profesionales se encuentra la persona notaria pública, quien debe ser abogado especialista en Derecho notarial y registral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(artículos 2 y 3 del Código Notarial)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que ejerce privadamente, en quien el Estado delegó fe pública. El caso de las personas notarias que se graduaron como abogados y notarios previo a la ley 7764 no requieren contar adicionalmente con la especialidad. Es necesario destacar que no es un funcionario público por el hecho de tener fe pública. Se cita al respecto la siguiente resolución de la Sala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Constitucional 19830-2020 de las 9:30 horas del 16 de octubre: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este sentido, es claro que la función notarial es una función de carácter público que el Estado delega en un grupo profesional conformado por los Notarios públicos, quienes por tener que cumplir con los requisitos de habilitación para el ejercicio de esa función delegada, se encuentran bajo un régimen de sujeción especial, que implica someterse no sólo al cumplimiento de aquellos requisitos señalados en el Código Notarial para la habilitación como tales, sino también sujetos al régimen de responsabilidad que en dicha normativa especializada se establece, permitiendo en cuanto a ello, incluso, remitir la valoración de los hechos a la determinación de la jurisdicción penal, cuando esté de por medio la vulneración de un tipo penal.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2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720" w:right="0" w:firstLine="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Definido entonces que la función notarial es una «función delegada» por parte del Estado, por la cual el ejercicio del notariado se encuentra bajo un régimen de sujeción especial, que da origen al ejercicio privado de una función pública, sobre la cual resulta aplicable un régimen de responsabilidad que puede ser de carácter tripartito.</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29"/>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bookmarkStart w:colFirst="0" w:colLast="0" w:name="_heading=h.81t68g8v8kyx" w:id="1"/>
      <w:bookmarkEnd w:id="1"/>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Aparte de la resolución citada se recomienda leer la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resolución Sala Constitucional 008043-2017</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con particular atención a lo establecido en el considerando III acerca de la naturaleza de la función notarial</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30"/>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bookmarkStart w:colFirst="0" w:colLast="0" w:name="_heading=h.cq6qevtfmsz3" w:id="2"/>
      <w:bookmarkEnd w:id="2"/>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verbo rector es </w:t>
      </w:r>
      <w:r w:rsidDel="00000000" w:rsidR="00000000" w:rsidRPr="00000000">
        <w:rPr>
          <w:rFonts w:ascii="Arial" w:cs="Arial" w:eastAsia="Arial" w:hAnsi="Arial"/>
          <w:b w:val="0"/>
          <w:bCs w:val="0"/>
          <w:i w:val="1"/>
          <w:iCs w:val="1"/>
          <w:smallCaps w:val="0"/>
          <w:strike w:val="0"/>
          <w:sz w:val="24"/>
          <w:szCs w:val="24"/>
          <w:u w:val="none"/>
          <w:shd w:fill="auto" w:val="clear"/>
          <w:vertAlign w:val="baseline"/>
          <w:rtl w:val="0"/>
        </w:rPr>
        <w:t xml:space="preserve">revelar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un secreto, con dos requisitos: que se haga sin justa causa, y que puede causar perjuicio.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Refiere Llobet que “sin justa causa se refiere a la inexistencia de circunstancias que eliminen la antijuridicidad y que “pueda causar perjuicio” se entiende como la mera posibilidad de que el daño se puede producir”</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31"/>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cuanto a la acción típica revelar no implica necesariamente divulgar</w:t>
      </w:r>
      <w:r w:rsidDel="00000000" w:rsidR="00000000" w:rsidRPr="00000000">
        <w:rPr>
          <w:rFonts w:ascii="Arial" w:cs="Arial" w:eastAsia="Arial" w:hAnsi="Arial"/>
          <w:rtl w:val="0"/>
        </w:rPr>
        <w:t xml:space="preserve">. 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s suficiente comunicarlo por cualquier medio, sea tradicional o por medio de las Tecnologías de la información y la comunicación (TIC). Ahora bien, si se violenta el deber de guardar el secreto por medio de las redes sociales, el daño para el sujeto pasivo podría tener consecuencias inimaginables, dependiendo del tipo de información.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sujeto pasivo vendría a ser el usuario que acude ante la persona notaria, según lo que establece el principio de rogación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36 del Código Notarial) a solicitar sus servicios profesionales (fase asesora).</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relación con los alcances y límites del secreto profesional y las consecuencias de violar ese deber y obligación se transcriben algunos extractos de </w:t>
      </w:r>
      <w:r w:rsidDel="00000000" w:rsidR="00000000" w:rsidRPr="00000000">
        <w:rPr>
          <w:rFonts w:ascii="Arial" w:cs="Arial" w:eastAsia="Arial" w:hAnsi="Arial"/>
          <w:rtl w:val="0"/>
        </w:rPr>
        <w:t xml:space="preserve">resoluciones jurisprudenciales</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siguiente, si bien, se hace la salvedad, se refiere a un profesional en abogacía, </w:t>
      </w:r>
      <w:r w:rsidDel="00000000" w:rsidR="00000000" w:rsidRPr="00000000">
        <w:rPr>
          <w:rFonts w:ascii="Arial" w:cs="Arial" w:eastAsia="Arial" w:hAnsi="Arial"/>
          <w:rtl w:val="0"/>
        </w:rPr>
        <w:t xml:space="preserve">sin que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por est</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no se apli</w:t>
      </w:r>
      <w:r w:rsidDel="00000000" w:rsidR="00000000" w:rsidRPr="00000000">
        <w:rPr>
          <w:rFonts w:ascii="Arial" w:cs="Arial" w:eastAsia="Arial" w:hAnsi="Arial"/>
          <w:rtl w:val="0"/>
        </w:rPr>
        <w:t xml:space="preserve">que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a la persona notaria pública, por supuesto, sin perder de vista la especificidad de esta materia y su regulación, por ejemplo, no existe un Código Ética para notarios, sino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Lineamientos Deontológicos del Notariado Costarricense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Todo lo resuelto es útil para comprender mejor el tipo penal.</w:t>
      </w:r>
    </w:p>
    <w:p w:rsidR="00000000" w:rsidDel="00000000" w:rsidP="00000000" w:rsidRDefault="00000000" w:rsidRPr="00000000" w14:paraId="00000066">
      <w:pPr>
        <w:shd w:fill="ffffff" w:val="clea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“La obligación de guardar secreto profesional perdura aún después de cesada la relación profesional (…) En otras palabras, si eventualmente la querellada [Nombre2]., en el ámbito privado o confidencial, le había brindado información a [Nombre4] relacionada con la pregunta que esta última formuló en la audiencia de recepción de prueba ordenada dentro del proceso de pensión alimentaria citado, resulta evidente que ello habría implicado una violación al secreto que debía guardar en razón de la profesión que ejerce. Por otra parte, si bien el referido Código de Ética del Colegio de Abogado establece excepciones que eximen del secreto profesional, es lo cierto también que en la presente causa no concurría ninguna de las que se encuentran previstas en los artículos 42 o 43, toda vez que no se presentó ninguna situación que estuviera vinculada con la defensa necesaria ante una acusación interpuesta contra la citada profesional en Derecho, con un cobro de honorarios, con la evitación de la condena de un inocente o con la confesión de su cliente de que cometería un hecho delictivo, que son las que están citadas en esos numerales. Unido a lo anterior, y como bien se advierte del acta de debate de folios 93 a 98, en ningún momento la querellada (que era la cliente de la citada profesional) relevó a [Nombre4] de su deber de guardar silencio en torno a lo que pudo haber conversado en la privacidad de la relación cliente-abogada (…) De haberse actuado en la forma en como lo menciona el quejoso, se habría incluso eventualmente hecho incurrir en responsabilidad penal a la licenciada [Nombre4] , pues podría haber cometido el delito de divulgación de secretos contenido en el artículo 203 del Código Penal (…) que a la licenciada [Nombre4] la asistía la obligación de abstenerse de declarar en torno a todo aquello que estuviera vinculado con el secreto profesional, conforme lo dispone no sólo el Código de Ética del Colegio de Abogados, sino también el artículo 206 del Código Procesal Penal, al señalar que: “(...) Deberán abstenerse de declarar sobre los hechos secretos que hayan llegado a su conocimiento en razón del propio estado, oficio o profesión, los ministros, religiosos , abogados y notarios, médicos, psicólogos, farmacéuticos, enfermeros y demás auxiliares de las ciencias médicas, así como los funcionarios públicos sobre secretos de Estado</w:t>
      </w:r>
      <w:r w:rsidDel="00000000" w:rsidR="00000000" w:rsidRPr="00000000">
        <w:rPr>
          <w:rFonts w:ascii="Arial" w:cs="Arial" w:eastAsia="Arial" w:hAnsi="Arial"/>
          <w:vertAlign w:val="superscript"/>
        </w:rPr>
        <w:footnoteReference w:customMarkFollows="0" w:id="32"/>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7">
      <w:pPr>
        <w:shd w:fill="ffffff" w:val="clea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Como puede observarse en la resolución citada el profesional obligado a guardar un secreto debe hacer valer esa deber ante la Autoridad judicial, de lo contrario podría ser acusado del delito mencionado. En todo caso corresponderá al tribunal valorar la solicitud. Véase que en dicha resolución se hace mención del </w:t>
      </w:r>
      <w:r w:rsidDel="00000000" w:rsidR="00000000" w:rsidRPr="00000000">
        <w:rPr>
          <w:rFonts w:ascii="Arial" w:cs="Arial" w:eastAsia="Arial" w:hAnsi="Arial"/>
          <w:rtl w:val="0"/>
        </w:rPr>
        <w:t xml:space="preserve">artículo 206 del Código Procesal Penal</w:t>
      </w:r>
      <w:r w:rsidDel="00000000" w:rsidR="00000000" w:rsidRPr="00000000">
        <w:rPr>
          <w:rFonts w:ascii="Arial" w:cs="Arial" w:eastAsia="Arial" w:hAnsi="Arial"/>
          <w:rtl w:val="0"/>
        </w:rPr>
        <w:t xml:space="preserve"> que regula el deber de abstención de declarar sobre los hechos secretos que hayan llegado al conocimiento, en el caso que nos ocupa, de las personas notarias públicas</w:t>
      </w:r>
      <w:r w:rsidDel="00000000" w:rsidR="00000000" w:rsidRPr="00000000">
        <w:rPr>
          <w:rFonts w:ascii="Arial" w:cs="Arial" w:eastAsia="Arial" w:hAnsi="Arial"/>
          <w:vertAlign w:val="superscript"/>
        </w:rPr>
        <w:footnoteReference w:customMarkFollows="0" w:id="33"/>
      </w:r>
      <w:r w:rsidDel="00000000" w:rsidR="00000000" w:rsidRPr="00000000">
        <w:rPr>
          <w:rFonts w:ascii="Arial" w:cs="Arial" w:eastAsia="Arial" w:hAnsi="Arial"/>
          <w:rtl w:val="0"/>
        </w:rPr>
        <w:t xml:space="preserve">. El párrafo final establece que si el testigo invoca de manera errónea la obligación de abstenerse o la reserva del secreto el tribunal ordenará la declaración con la fundamentación correspondiente.</w:t>
      </w:r>
    </w:p>
    <w:p w:rsidR="00000000" w:rsidDel="00000000" w:rsidP="00000000" w:rsidRDefault="00000000" w:rsidRPr="00000000" w14:paraId="00000068">
      <w:pPr>
        <w:shd w:fill="ffffff" w:val="clea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En la siguiente resolución se analiza la acción de revelar y divulgar un secreto como parte de un deber profesional y cuando se trata de un secreto de Estado.</w:t>
      </w:r>
    </w:p>
    <w:p w:rsidR="00000000" w:rsidDel="00000000" w:rsidP="00000000" w:rsidRDefault="00000000" w:rsidRPr="00000000" w14:paraId="00000069">
      <w:pPr>
        <w:shd w:fill="ffffff" w:val="clea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Por divulgación ha de entenderse la comunicación de lo descubierto a una o más personas. Es irrelevante que éstas estén o no interesadas en su conocimiento. De forma análoga ha de interpretarse «revelar», como equivalente a descubrir o manifestar la (sic) desconocido o secreto. Por «ceder» ha de entenderse transferir, o traspasar a otro una información” </w:t>
      </w:r>
      <w:r w:rsidDel="00000000" w:rsidR="00000000" w:rsidRPr="00000000">
        <w:rPr>
          <w:rFonts w:ascii="Arial" w:cs="Arial" w:eastAsia="Arial" w:hAnsi="Arial"/>
          <w:rtl w:val="0"/>
        </w:rPr>
        <w:t xml:space="preserve">(GONZÁLEZ CUSSAC, José Luis. Delitos contra la intimidad, el derecho a la propia imagen y la inviolabilidad del domicilio. Derecho Penal. Parte Especial. Tirant lo Blanch, 5 edición, Esp., 2016, pág. 283).</w:t>
      </w:r>
      <w:r w:rsidDel="00000000" w:rsidR="00000000" w:rsidRPr="00000000">
        <w:rPr>
          <w:rFonts w:ascii="Arial" w:cs="Arial" w:eastAsia="Arial" w:hAnsi="Arial"/>
          <w:rtl w:val="0"/>
        </w:rPr>
        <w:t xml:space="preserve"> En el caso de la legislación costarricense, el término revelar supone poner en conocimiento un hecho desconocido, sin que resulte posible su equiparación con la divulgación que implica transmitir información que no necesariamente sea desconocida o bien secreta, último término que implica un grado aún mayor de protección, como ocurre con los secretos de Estado. En este sentido, conviene destacar que el Código Penal si realiza la distinción entre los términos revelar y divulgar cuando en el numeral 203, señala en lo que interesa: “Será reprimido con prisión de un mes a un año o de treinta a cien días multa, el que, teniendo noticias por razón de su estado, oficio, empleo, profesión o arte, de un secreto cuya divulgación pueda causar daño, lo revele sin justa causa</w:t>
      </w:r>
      <w:r w:rsidDel="00000000" w:rsidR="00000000" w:rsidRPr="00000000">
        <w:rPr>
          <w:rFonts w:ascii="Arial" w:cs="Arial" w:eastAsia="Arial" w:hAnsi="Arial"/>
          <w:vertAlign w:val="superscript"/>
        </w:rPr>
        <w:footnoteReference w:customMarkFollows="0" w:id="34"/>
      </w:r>
      <w:r w:rsidDel="00000000" w:rsidR="00000000" w:rsidRPr="00000000">
        <w:rPr>
          <w:rFonts w:ascii="Arial" w:cs="Arial" w:eastAsia="Arial" w:hAnsi="Arial"/>
          <w:rtl w:val="0"/>
        </w:rPr>
        <w:t xml:space="preserve">“.</w:t>
      </w:r>
    </w:p>
    <w:p w:rsidR="00000000" w:rsidDel="00000000" w:rsidP="00000000" w:rsidRDefault="00000000" w:rsidRPr="00000000" w14:paraId="0000006A">
      <w:pPr>
        <w:shd w:fill="ffffff" w:val="clea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tipo penal no exige que el sujeto pasivo hubiera manifestado explícitamente que le confiaba (secreto) la información, es suficiente con que se establezca la condición del profesional y que entró en conocimiento del hecho o hechos por medio de la persona (usuario), quien, amparándose en el principio de confianza, le comentó o le explicó aspectos privados relacionados con el servicio solicitado. Por ejemplo, se presentó para asesorarse de cómo dejar un testamento. En la conversación le revela razones muy personales de su familia para explicar cuál es la finalidad de su consulta. La persona usuaria tiene el derecho y la persona notaria el deber de conservar en secreto aquello que no formará parte del negocio jurídico unilateral en que se plasmará en el protocolo (testamento abierto).</w:t>
      </w:r>
    </w:p>
    <w:p w:rsidR="00000000" w:rsidDel="00000000" w:rsidP="00000000" w:rsidRDefault="00000000" w:rsidRPr="00000000" w14:paraId="0000006B">
      <w:pPr>
        <w:shd w:fill="ffffff" w:val="clea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En la misma resolución se hace un análisis que incluye el tipo penal que nos ocupa y el de revelación de secretos de Estado. Esto se plasma en la jurisprudencia con la finalidad de explicar los términos revelar, divulgar y difundir. Se cita lo siguiente:</w:t>
        <w:tab/>
      </w:r>
    </w:p>
    <w:p w:rsidR="00000000" w:rsidDel="00000000" w:rsidP="00000000" w:rsidRDefault="00000000" w:rsidRPr="00000000" w14:paraId="0000006C">
      <w:pPr>
        <w:shd w:fill="ffffff" w:val="clear"/>
        <w:spacing w:after="160" w:before="16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“Por otra parte, el delito de revelación de secretos de Estado previsto en el ordinal 293, utiliza el término revelar para hablar de hechos desconocidos o no descubiertos, señalando: “Será reprimido con prisión de uno a seis años a quien revele secretos de Estado debidamente decretados relativos a la seguridad interna o externa de la nación, la defensa de la soberanía nacional o las relaciones exteriores de la Republica” (subrayado no corresponde al original), lo que se reproduce en el numeral 294, al sancionar a quien: “Será reprimido con prisión de un mes a un año al que, por culpa, revelare hechos o datos o diere a conocer los secretos mencionados en el artículo precedente, de los que se hallare en posesión en virtud de su empleo, oficio o de un contrato oficial” (subrayado no corresponde al original). Cabe apuntar que, en los ordinales transcritos supra, la revelación no es sólo sobre un hecho desconocido, sino que, además, debe ser secreto. A nivel de dogmática penal costarricense, también se ha realizado esta diferenciación con ocasión del delito de divulgación de secretos, precisando "Por otra parte, “revelar” no es “difundir”. Aunque este implique que el primero, aquel no contiene el segundo. Puede que alguien revele una información secreta, sin que la propale” </w:t>
      </w:r>
      <w:r w:rsidDel="00000000" w:rsidR="00000000" w:rsidRPr="00000000">
        <w:rPr>
          <w:rFonts w:ascii="Arial" w:cs="Arial" w:eastAsia="Arial" w:hAnsi="Arial"/>
          <w:rtl w:val="0"/>
        </w:rPr>
        <w:t xml:space="preserve">(SALAS PORRAS, Ricardo. Derecho penal especial. Tomo II, Instituto de Investigaciones Jurídicas S.A., San José, C.R., 2020, pág. 103)</w:t>
      </w:r>
      <w:r w:rsidDel="00000000" w:rsidR="00000000" w:rsidRPr="00000000">
        <w:rPr>
          <w:rFonts w:ascii="Arial" w:cs="Arial" w:eastAsia="Arial" w:hAnsi="Arial"/>
          <w:rtl w:val="0"/>
        </w:rPr>
        <w:t xml:space="preserve">. Desde esta óptica, utilizando un argumento sistemático de carácter lingüístico, sobre el que la doctrina apunta: “En estos argumentos la base está en que el significado de una norma puede establecerse, en ocasiones, a partir de los datos o referencias contenidos en otras normas del mismo sistema jurídico. Se trata de establecer el significado de la norma a interpretar poniéndola en su contexto normativo, en lugar de proceder mediante una lectura aislada de dicha norma.</w:t>
      </w:r>
      <w:r w:rsidDel="00000000" w:rsidR="00000000" w:rsidRPr="00000000">
        <w:rPr>
          <w:rFonts w:ascii="Arial" w:cs="Arial" w:eastAsia="Arial" w:hAnsi="Arial"/>
          <w:vertAlign w:val="superscript"/>
        </w:rPr>
        <w:footnoteReference w:customMarkFollows="0" w:id="35"/>
      </w:r>
      <w:r w:rsidDel="00000000" w:rsidR="00000000" w:rsidRPr="00000000">
        <w:rPr>
          <w:rFonts w:ascii="Arial" w:cs="Arial" w:eastAsia="Arial" w:hAnsi="Arial"/>
          <w:rtl w:val="0"/>
        </w:rPr>
        <w:t xml:space="preserve">”</w:t>
      </w:r>
    </w:p>
    <w:p w:rsidR="00000000" w:rsidDel="00000000" w:rsidP="00000000" w:rsidRDefault="00000000" w:rsidRPr="00000000" w14:paraId="0000006D">
      <w:pPr>
        <w:shd w:fill="ffffff" w:val="clea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Otro tema que tiene relación con la parte de tipicidad es el tema de la clasificación de los delitos. Este clasifica como un peligro concreto, lo que se requiere es que la persona notaria considere que la revelación del secreto pueda causar algún daño (cualquier índole). No es necesario que el daño se materialice, si se llegase a dar tendría repercusión en la adecuación de la pena o en los casos en que se solicita responsabilidad civil. Además, podría analizarse como un delito de mera actividad, es decir el delito se consuma con solo poner en conocimiento a terceros el secreto. </w:t>
      </w:r>
      <w:r w:rsidDel="00000000" w:rsidR="00000000" w:rsidRPr="00000000">
        <w:rPr>
          <w:rFonts w:ascii="Arial" w:cs="Arial" w:eastAsia="Arial" w:hAnsi="Arial"/>
          <w:rtl w:val="0"/>
        </w:rPr>
        <w:t xml:space="preserve">Como refiere Castillo, “en los delitos de mera actividad el injusto típico, se agota en la acción (último acto de la acción) del autor”</w:t>
      </w:r>
      <w:r w:rsidDel="00000000" w:rsidR="00000000" w:rsidRPr="00000000">
        <w:rPr>
          <w:rFonts w:ascii="Arial" w:cs="Arial" w:eastAsia="Arial" w:hAnsi="Arial"/>
          <w:vertAlign w:val="superscript"/>
        </w:rPr>
        <w:footnoteReference w:customMarkFollows="0" w:id="36"/>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Este tipo penal se puede cometer por acción y por omisión impropia. El primer caso sería revelar, es decir, poner de alguna manera en conocimiento el secreto sin que medie autorización ni otra justificación que lo permita. Ahora bien, existe un deber jurídico de no revelarlo, por tanto, si no hizo nada para evitarlo, sin ninguna justificación alguna, se incurra en la conducta, en aplicación del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18 del Código penal.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No se ahondará en los presupuestos propios del tipo penal de omisión impropia en detalle, sin embargo, es importante tomar en cuenta que en el tipo objetivo se debe analizar la situación típica, la ausencia de la acción esperada y la capacidad de acción del sujeto activo en la situación concreta (lo que debió hacer y no hizo). En relación con el tipo subjetivo el delito de omisión doloso requiere no solo del conocimiento efectivo de la situación típica que hace surgir el deber de actuar, sino también una actitud omisiva final, dirigida a la producción a la comisión del hecho.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357"/>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En cuanto al tipo penal subjetivo la conducta </w:t>
      </w:r>
      <w:r w:rsidDel="00000000" w:rsidR="00000000" w:rsidRPr="00000000">
        <w:rPr>
          <w:rFonts w:ascii="Arial" w:cs="Arial" w:eastAsia="Arial" w:hAnsi="Arial"/>
          <w:rtl w:val="0"/>
        </w:rPr>
        <w:t xml:space="preserve">solo</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admite el dolo. Por ende, el sujeto debe tener el conocimiento y la voluntad de revelar un secreto, en su condición de persona notaria pública (caso que nos ocupa) sin que exista razón alguna que justifique la violación de la privacidad de la información que le fue dada por parte del usuario. En principio nada impide el dolo eventual, siempre y cuando se pueda comprobar que el sujeto activo cumple con los presupuestos que contempla la Teoría Ecléctica (la más utilizada por la jurisprudencia nacional): previsibilidad y aceptación.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Otro aspecto que se debe analizar en la tipicidad es el error de tipo. Puede darse el caso de que la persona notaria se encuentre bajo un error con respecto a los elementos del tipo penal comentado. En tal situación, se debe valorar si se trata de un error de tipo vencible o invencible</w:t>
      </w:r>
      <w:r w:rsidDel="00000000" w:rsidR="00000000" w:rsidRPr="00000000">
        <w:rPr>
          <w:rFonts w:ascii="Arial" w:cs="Arial" w:eastAsia="Arial" w:hAnsi="Arial"/>
          <w:rtl w:val="0"/>
        </w:rPr>
        <w:t xml:space="preserve">. Ello p</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orque si fuera vencible, según el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34 del Código Penal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queda subsistente la culpa, pero, el delito en estudio no contempla esta modalidad, por tanto, no se puede imputar hecho alguno. Al no ser parte del estudio no se ahondará en este aspecto. </w:t>
      </w: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especto a un error de tipo, en los casos de omisión impropia, es un tema en que la doctrina no es unánime y su abordaje requiere un exhaustivo análisis, que escapa a los fines de este estudio.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Lo que respecta a la antijuridicidad, lo más importante es el alcance del elemento del tipo penal que se refiere a la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revelación sin justa causa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Se admite, —por ejemplo</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Llobet—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que esa parte del tipo penal hace alusión a las causas de justificación que como excluyentes de la antijuridicidad</w:t>
      </w:r>
      <w:r w:rsidDel="00000000" w:rsidR="00000000" w:rsidRPr="00000000">
        <w:rPr>
          <w:rFonts w:ascii="Arial" w:cs="Arial" w:eastAsia="Arial" w:hAnsi="Arial"/>
          <w:b w:val="0"/>
          <w:bCs w:val="0"/>
          <w:i w:val="0"/>
          <w:iCs w:val="0"/>
          <w:smallCaps w:val="0"/>
          <w:strike w:val="0"/>
          <w:sz w:val="24"/>
          <w:szCs w:val="24"/>
          <w:u w:val="none"/>
          <w:shd w:fill="auto" w:val="clear"/>
          <w:vertAlign w:val="superscript"/>
        </w:rPr>
        <w:footnoteReference w:customMarkFollows="0" w:id="37"/>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No es el propósito de este artículo referirse a cada una de las causas previstas </w:t>
      </w:r>
      <w:r w:rsidDel="00000000" w:rsidR="00000000" w:rsidRPr="00000000">
        <w:rPr>
          <w:rFonts w:ascii="Arial" w:cs="Arial" w:eastAsia="Arial" w:hAnsi="Arial"/>
          <w:rtl w:val="0"/>
        </w:rPr>
        <w:t xml:space="preserve">en los artículos</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25 al 29 del Código Penal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Solamente se hará alusión a una de las causas de justificación que resulta más conocida para ser aplicada en este tipo penal, sea el Consentimiento del derechohabiente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26 del Código Penal)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El elemento objetivo de esta causa, se refiere a que el titular del derecho da el consentimiento, en el caso en cuestión, para que el secreto pueda ser revelado por parte de la persona obligada a mantener la privacidad.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realidad, no se diferencia la aplicación de las causas de justificación (elemento objetivo y subjetivo) en este delito de cualquier otro delito</w:t>
      </w:r>
      <w:r w:rsidDel="00000000" w:rsidR="00000000" w:rsidRPr="00000000">
        <w:rPr>
          <w:rFonts w:ascii="Arial" w:cs="Arial" w:eastAsia="Arial" w:hAnsi="Arial"/>
          <w:rtl w:val="0"/>
        </w:rPr>
        <w:t xml:space="preserve">. 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s decir, la aplicación es general, solo que el legislador decidió incluir el elemento </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sin justa causa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en el tipo penal, lo que obliga, dicho sea de paso, a analizar este elemento, en la tipicidad también. En la siguiente figura se enumeran las causas de justificación reguladas en el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Código Pena</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l.</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Pr>
        <w:drawing>
          <wp:inline distB="0" distT="0" distL="0" distR="0">
            <wp:extent cx="4815641" cy="2708594"/>
            <wp:effectExtent b="0" l="0" r="0" t="0"/>
            <wp:docPr id="179433347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15641" cy="2708594"/>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Figura 2. Causas de justificación Código Penal Costa Rica.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160" w:line="360" w:lineRule="auto"/>
        <w:ind w:left="0" w:right="0" w:firstLine="709"/>
        <w:jc w:val="both"/>
        <w:rPr>
          <w:rFonts w:ascii="Arial" w:cs="Arial" w:eastAsia="Arial" w:hAnsi="Arial"/>
        </w:rPr>
      </w:pP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El siguiente componente de la teoría del delito es la culpabilidad. En este punto lo más relevante es la parte del conocimiento del ilícito. </w:t>
      </w:r>
      <w:r w:rsidDel="00000000" w:rsidR="00000000" w:rsidRPr="00000000">
        <w:rPr>
          <w:rFonts w:ascii="Arial" w:cs="Arial" w:eastAsia="Arial" w:hAnsi="Arial"/>
          <w:rtl w:val="0"/>
        </w:rPr>
        <w:t xml:space="preserve">Puede</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darse un caso en que la persona notaria pública incurra en un error de prohibición directo o indirecto (habría que analizar el cuadro fáctico), por una valoración incorrecta o conocimiento erróneo con respecto a la antijuridicidad de la conducta. Por ejemplo, considera que un hecho que le fue informado puede revelarlo porque la ley le obliga a hacerlo (cumplimiento de un deber legal-causa de justificación) o porque no es delito (conducta atípica), cuando en realidad dada las circunstancias se incurre en la conducta delictiva en estudio. El error de prohibición puede ser vencible o invencible, con consecuencias diferentes según lo establece el Código Penal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35</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mas, no se ahondará por escapar a los alcances de este trabajo. De igual manera se puede alegar una de las causas que excluyen la culpabilidad, por ejemplo, la Coacción o amenaza (</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artículo 38 Código Penal</w:t>
      </w:r>
      <w:r w:rsidDel="00000000" w:rsidR="00000000" w:rsidRPr="00000000">
        <w:rPr>
          <w:rFonts w:ascii="Arial" w:cs="Arial" w:eastAsia="Arial" w:hAnsi="Arial"/>
          <w:b w:val="0"/>
          <w:bCs w:val="0"/>
          <w:i w:val="0"/>
          <w:iCs w:val="0"/>
          <w:smallCaps w:val="0"/>
          <w:strike w:val="0"/>
          <w:sz w:val="24"/>
          <w:szCs w:val="24"/>
          <w:u w:val="none"/>
          <w:shd w:fill="auto" w:val="clear"/>
          <w:vertAlign w:val="baseline"/>
          <w:rtl w:val="0"/>
        </w:rPr>
        <w:t xml:space="preserve">) cuando el actuar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160" w:line="360" w:lineRule="auto"/>
        <w:ind w:left="1069" w:right="0" w:hanging="36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Conclusiones</w:t>
      </w:r>
      <w:r w:rsidDel="00000000" w:rsidR="00000000" w:rsidRPr="00000000">
        <w:rPr>
          <w:rtl w:val="0"/>
        </w:rPr>
      </w:r>
    </w:p>
    <w:p w:rsidR="00000000" w:rsidDel="00000000" w:rsidP="00000000" w:rsidRDefault="00000000" w:rsidRPr="00000000" w14:paraId="00000077">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secreto profesional en la función notarial no solamente es un deber, sino que un derecho de la persona usuaria. A la vez, lo es también de la persona notaria pública, porque, ante un requerimiento judicial para declarar testigo, está facultada a alegar su deber de guardar silencio, siempre que los hechos que vaya a declarar estén cubiertos por el secreto. Así se vio al abordar el tema de los alcances y situaciones que se puedan presentar. </w:t>
      </w:r>
      <w:r w:rsidDel="00000000" w:rsidR="00000000" w:rsidRPr="00000000">
        <w:rPr>
          <w:rFonts w:ascii="Arial" w:cs="Arial" w:eastAsia="Arial" w:hAnsi="Arial"/>
          <w:rtl w:val="0"/>
        </w:rPr>
        <w:t xml:space="preserve">El artículo 38 del Código Notarial</w:t>
      </w:r>
      <w:r w:rsidDel="00000000" w:rsidR="00000000" w:rsidRPr="00000000">
        <w:rPr>
          <w:rFonts w:ascii="Arial" w:cs="Arial" w:eastAsia="Arial" w:hAnsi="Arial"/>
          <w:rtl w:val="0"/>
        </w:rPr>
        <w:t xml:space="preserve">, de manera escueta, establece que las personas notarias están obligadas a guardar el secreto profesional de las manifestaciones extraprotocolares</w:t>
      </w:r>
    </w:p>
    <w:p w:rsidR="00000000" w:rsidDel="00000000" w:rsidP="00000000" w:rsidRDefault="00000000" w:rsidRPr="00000000" w14:paraId="00000078">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En la función notarial se dan actuaciones que por su naturaleza, no están cubiertas por el secreto profesional. Las actuaciones protocolares quedan fuera de este deber. El notario incluso está obligado, según el </w:t>
      </w:r>
      <w:r w:rsidDel="00000000" w:rsidR="00000000" w:rsidRPr="00000000">
        <w:rPr>
          <w:rFonts w:ascii="Arial" w:cs="Arial" w:eastAsia="Arial" w:hAnsi="Arial"/>
          <w:rtl w:val="0"/>
        </w:rPr>
        <w:t xml:space="preserve">artículo 46 del Código Notarial</w:t>
      </w:r>
      <w:r w:rsidDel="00000000" w:rsidR="00000000" w:rsidRPr="00000000">
        <w:rPr>
          <w:rFonts w:ascii="Arial" w:cs="Arial" w:eastAsia="Arial" w:hAnsi="Arial"/>
          <w:rtl w:val="0"/>
        </w:rPr>
        <w:t xml:space="preserve"> a mostrar el protocolo que conserve en su oficina, con la única limitación de tomar medidas precautorias en aras de cumplir con la obligación que le impone el </w:t>
      </w:r>
      <w:r w:rsidDel="00000000" w:rsidR="00000000" w:rsidRPr="00000000">
        <w:rPr>
          <w:rFonts w:ascii="Arial" w:cs="Arial" w:eastAsia="Arial" w:hAnsi="Arial"/>
          <w:rtl w:val="0"/>
        </w:rPr>
        <w:t xml:space="preserve">artículo 51 del Código Notarial</w:t>
      </w:r>
      <w:r w:rsidDel="00000000" w:rsidR="00000000" w:rsidRPr="00000000">
        <w:rPr>
          <w:rFonts w:ascii="Arial" w:cs="Arial" w:eastAsia="Arial" w:hAnsi="Arial"/>
          <w:rtl w:val="0"/>
        </w:rPr>
        <w:t xml:space="preserve"> (custodia y conservación). El artículo 46 citado extiende la obligación por orden judicial, a la Dirección Nacional de Notariado y el Archivo Nacional. </w:t>
      </w:r>
    </w:p>
    <w:p w:rsidR="00000000" w:rsidDel="00000000" w:rsidP="00000000" w:rsidRDefault="00000000" w:rsidRPr="00000000" w14:paraId="00000079">
      <w:pPr>
        <w:spacing w:after="160" w:before="160" w:line="360" w:lineRule="auto"/>
        <w:ind w:firstLine="709"/>
        <w:jc w:val="both"/>
        <w:rPr>
          <w:rFonts w:ascii="Arial" w:cs="Arial" w:eastAsia="Arial" w:hAnsi="Arial"/>
        </w:rPr>
      </w:pPr>
      <w:bookmarkStart w:colFirst="0" w:colLast="0" w:name="_heading=h.9xstbicy540g" w:id="3"/>
      <w:bookmarkEnd w:id="3"/>
      <w:r w:rsidDel="00000000" w:rsidR="00000000" w:rsidRPr="00000000">
        <w:rPr>
          <w:rFonts w:ascii="Arial" w:cs="Arial" w:eastAsia="Arial" w:hAnsi="Arial"/>
          <w:rtl w:val="0"/>
        </w:rPr>
        <w:t xml:space="preserve">Las nuevas obligaciones para la persona notaria pública, en acatamiento, sobre todo, a las recomendaciones del Grupo de Acción Financiera Internacional (GAFI) no contemplaron la reforma ni del artículo 38 del Código Notarial y 20 de los lineamientos. Estos artículos son limitados, no explican en realidad los alcances de este deber, y si antes de las nuevas disposiciones se requería, en la actualidad aún más. </w:t>
      </w:r>
    </w:p>
    <w:p w:rsidR="00000000" w:rsidDel="00000000" w:rsidP="00000000" w:rsidRDefault="00000000" w:rsidRPr="00000000" w14:paraId="0000007A">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El artículo </w:t>
      </w:r>
      <w:r w:rsidDel="00000000" w:rsidR="00000000" w:rsidRPr="00000000">
        <w:rPr>
          <w:rFonts w:ascii="Arial" w:cs="Arial" w:eastAsia="Arial" w:hAnsi="Arial"/>
          <w:rtl w:val="0"/>
        </w:rPr>
        <w:t xml:space="preserve">15 ter (Ley 9442) refiere que los notarios públicos de forma obligatoria deben acatar las disposiciones de la Dirección Nacional de Notariado </w:t>
      </w:r>
      <w:r w:rsidDel="00000000" w:rsidR="00000000" w:rsidRPr="00000000">
        <w:rPr>
          <w:rFonts w:ascii="Arial" w:cs="Arial" w:eastAsia="Arial" w:hAnsi="Arial"/>
          <w:rtl w:val="0"/>
        </w:rPr>
        <w:t xml:space="preserve">en coordinación con la Unidad de Inteligencia Financiera, con respecto a la prevención y lucha contra la legitimación de capitales, entre otras conductas delictivas. Además, se establece la obligación de brindar acceso a la documentación e información que </w:t>
      </w:r>
      <w:r w:rsidDel="00000000" w:rsidR="00000000" w:rsidRPr="00000000">
        <w:rPr>
          <w:rFonts w:ascii="Arial" w:cs="Arial" w:eastAsia="Arial" w:hAnsi="Arial"/>
          <w:rtl w:val="0"/>
        </w:rPr>
        <w:t xml:space="preserve">estos</w:t>
      </w:r>
      <w:r w:rsidDel="00000000" w:rsidR="00000000" w:rsidRPr="00000000">
        <w:rPr>
          <w:rFonts w:ascii="Arial" w:cs="Arial" w:eastAsia="Arial" w:hAnsi="Arial"/>
          <w:rtl w:val="0"/>
        </w:rPr>
        <w:t xml:space="preserve"> dos entes le soliciten.</w:t>
      </w:r>
    </w:p>
    <w:p w:rsidR="00000000" w:rsidDel="00000000" w:rsidP="00000000" w:rsidRDefault="00000000" w:rsidRPr="00000000" w14:paraId="0000007B">
      <w:pPr>
        <w:spacing w:after="160" w:before="160" w:line="360" w:lineRule="auto"/>
        <w:ind w:firstLine="709"/>
        <w:jc w:val="both"/>
        <w:rPr>
          <w:rFonts w:ascii="Arial" w:cs="Arial" w:eastAsia="Arial" w:hAnsi="Arial"/>
        </w:rPr>
      </w:pPr>
      <w:r w:rsidDel="00000000" w:rsidR="00000000" w:rsidRPr="00000000">
        <w:rPr>
          <w:rFonts w:ascii="Arial" w:cs="Arial" w:eastAsia="Arial" w:hAnsi="Arial"/>
          <w:rtl w:val="0"/>
        </w:rPr>
        <w:t xml:space="preserve">En cuanto al tipo penal de divulgación de secretos, se trata de un tipo penal especial propio. Dentro de los sujetos activos incluye al profesional que, al tener noticias de un secreto por razón de su cargo, lo divulgue bajo dos supuestos: si puede causar daño y lo hace sin justa causa. Esto se refiere al profesional en general, por tanto, cuando se trate de una investigación contra una persona notaria, dada su especificidad, no basta con aplicar los elementos de la Teoría del Delito. Se requiere contemplar la normativa, los deberes y  las obligaciones de esta rama porque se trata de un profesional en Derecho con un grado de especialización que requiere de fiscalizaciones particulares.</w:t>
      </w:r>
    </w:p>
    <w:p w:rsidR="00000000" w:rsidDel="00000000" w:rsidP="00000000" w:rsidRDefault="00000000" w:rsidRPr="00000000" w14:paraId="0000007C">
      <w:pPr>
        <w:numPr>
          <w:ilvl w:val="0"/>
          <w:numId w:val="1"/>
        </w:numPr>
        <w:spacing w:after="160" w:before="160" w:line="360" w:lineRule="auto"/>
        <w:ind w:left="1069" w:hanging="360"/>
        <w:jc w:val="both"/>
        <w:rPr>
          <w:rFonts w:ascii="Arial" w:cs="Arial" w:eastAsia="Arial" w:hAnsi="Arial"/>
          <w:b w:val="1"/>
          <w:bCs w:val="1"/>
          <w:u w:val="none"/>
        </w:rPr>
      </w:pPr>
      <w:r w:rsidDel="00000000" w:rsidR="00000000" w:rsidRPr="00000000">
        <w:rPr>
          <w:rFonts w:ascii="Arial" w:cs="Arial" w:eastAsia="Arial" w:hAnsi="Arial"/>
          <w:b w:val="1"/>
          <w:bCs w:val="1"/>
          <w:rtl w:val="0"/>
        </w:rPr>
        <w:t xml:space="preserve">Bibliografía</w:t>
      </w:r>
    </w:p>
    <w:p w:rsidR="00000000" w:rsidDel="00000000" w:rsidP="00000000" w:rsidRDefault="00000000" w:rsidRPr="00000000" w14:paraId="0000007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“Código Notarial N.° 7764”, [Aprobada 17 de abril 1998].</w:t>
      </w:r>
    </w:p>
    <w:p w:rsidR="00000000" w:rsidDel="00000000" w:rsidP="00000000" w:rsidRDefault="00000000" w:rsidRPr="00000000" w14:paraId="0000007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“Código Penal N.° 4573”, [Aprobada 4 de mayo 1970].</w:t>
      </w:r>
    </w:p>
    <w:p w:rsidR="00000000" w:rsidDel="00000000" w:rsidP="00000000" w:rsidRDefault="00000000" w:rsidRPr="00000000" w14:paraId="0000007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“Código Procesal Penal N.° 7594”, [Aprobada 10 de abril 1996].</w:t>
      </w:r>
    </w:p>
    <w:p w:rsidR="00000000" w:rsidDel="00000000" w:rsidP="00000000" w:rsidRDefault="00000000" w:rsidRPr="00000000" w14:paraId="00000080">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Asamblea Legislativa de la República de Costa Rica, “Ley sobre estupefacientes, sustancias psicotrópicas, drogas de uso No Autorizado, actividades Conexas, legitimación de capitales y financiamiento al terrorismo N.° 7786”, [Aprobada 30 de abril 1998].</w:t>
      </w:r>
    </w:p>
    <w:p w:rsidR="00000000" w:rsidDel="00000000" w:rsidP="00000000" w:rsidRDefault="00000000" w:rsidRPr="00000000" w14:paraId="00000081">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Castillo González, Fransisco. </w:t>
      </w:r>
      <w:r w:rsidDel="00000000" w:rsidR="00000000" w:rsidRPr="00000000">
        <w:rPr>
          <w:rFonts w:ascii="Arial" w:cs="Arial" w:eastAsia="Arial" w:hAnsi="Arial"/>
          <w:i w:val="1"/>
          <w:iCs w:val="1"/>
          <w:rtl w:val="0"/>
        </w:rPr>
        <w:t xml:space="preserve">Derecho penal: parte general. Tomo I</w:t>
      </w:r>
      <w:r w:rsidDel="00000000" w:rsidR="00000000" w:rsidRPr="00000000">
        <w:rPr>
          <w:rFonts w:ascii="Arial" w:cs="Arial" w:eastAsia="Arial" w:hAnsi="Arial"/>
          <w:rtl w:val="0"/>
        </w:rPr>
        <w:t xml:space="preserve">. San José, Costa Rica: Editorial Jurídica Continental, 2010.</w:t>
      </w:r>
    </w:p>
    <w:p w:rsidR="00000000" w:rsidDel="00000000" w:rsidP="00000000" w:rsidRDefault="00000000" w:rsidRPr="00000000" w14:paraId="00000082">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Costa Rica, “Constitución Política de la República de Costa Rica”, [Aprobada 7 de noviembre 1949].</w:t>
      </w:r>
    </w:p>
    <w:p w:rsidR="00000000" w:rsidDel="00000000" w:rsidP="00000000" w:rsidRDefault="00000000" w:rsidRPr="00000000" w14:paraId="00000083">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De Lezica, Miguel. “Secreto profesional y deber de información de los escribanos.” </w:t>
      </w:r>
      <w:r w:rsidDel="00000000" w:rsidR="00000000" w:rsidRPr="00000000">
        <w:rPr>
          <w:rFonts w:ascii="Arial" w:cs="Arial" w:eastAsia="Arial" w:hAnsi="Arial"/>
          <w:i w:val="1"/>
          <w:iCs w:val="1"/>
          <w:rtl w:val="0"/>
        </w:rPr>
        <w:t xml:space="preserve">Anales de la Universidad Notarial Argentina</w:t>
      </w:r>
      <w:r w:rsidDel="00000000" w:rsidR="00000000" w:rsidRPr="00000000">
        <w:rPr>
          <w:rFonts w:ascii="Arial" w:cs="Arial" w:eastAsia="Arial" w:hAnsi="Arial"/>
          <w:rtl w:val="0"/>
        </w:rPr>
        <w:t xml:space="preserve">, no. 2 (abril 2025): 20-36. </w:t>
      </w:r>
      <w:hyperlink r:id="rId10">
        <w:r w:rsidDel="00000000" w:rsidR="00000000" w:rsidRPr="00000000">
          <w:rPr>
            <w:rFonts w:ascii="Arial" w:cs="Arial" w:eastAsia="Arial" w:hAnsi="Arial"/>
            <w:u w:val="single"/>
            <w:rtl w:val="0"/>
          </w:rPr>
          <w:t xml:space="preserve">https://doi.org/10.70161/30726948auna2abril34</w:t>
        </w:r>
      </w:hyperlink>
      <w:r w:rsidDel="00000000" w:rsidR="00000000" w:rsidRPr="00000000">
        <w:rPr>
          <w:rFonts w:ascii="Arial" w:cs="Arial" w:eastAsia="Arial" w:hAnsi="Arial"/>
          <w:rtl w:val="0"/>
        </w:rPr>
        <w:t xml:space="preserve">.</w:t>
      </w:r>
    </w:p>
    <w:p w:rsidR="00000000" w:rsidDel="00000000" w:rsidP="00000000" w:rsidRDefault="00000000" w:rsidRPr="00000000" w14:paraId="00000084">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Dirección Nacional de Notariado. “Área de Prevención LCFT”. Recuperado el 1 de </w:t>
      </w:r>
      <w:r w:rsidDel="00000000" w:rsidR="00000000" w:rsidRPr="00000000">
        <w:rPr>
          <w:rFonts w:ascii="Arial" w:cs="Arial" w:eastAsia="Arial" w:hAnsi="Arial"/>
          <w:rtl w:val="0"/>
        </w:rPr>
        <w:t xml:space="preserve">julio 2025</w:t>
      </w:r>
      <w:r w:rsidDel="00000000" w:rsidR="00000000" w:rsidRPr="00000000">
        <w:rPr>
          <w:rFonts w:ascii="Arial" w:cs="Arial" w:eastAsia="Arial" w:hAnsi="Arial"/>
          <w:rtl w:val="0"/>
        </w:rPr>
        <w:t xml:space="preserve">. </w:t>
      </w:r>
      <w:hyperlink r:id="rId11">
        <w:r w:rsidDel="00000000" w:rsidR="00000000" w:rsidRPr="00000000">
          <w:rPr>
            <w:rFonts w:ascii="Arial" w:cs="Arial" w:eastAsia="Arial" w:hAnsi="Arial"/>
            <w:u w:val="single"/>
            <w:rtl w:val="0"/>
          </w:rPr>
          <w:t xml:space="preserve">https://www.dnn.go.cr/area-prevencion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5">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Grupo de Acción Financiera de Latinoamérica (GAFILAT). “Estándares internacionales sobre la lucha contra el lavado de activos, el financiamiento del terrorismo, y el financiamiento de la proliferación de armas de destrucción masiva”. 2023. </w:t>
      </w:r>
      <w:hyperlink r:id="rId12">
        <w:r w:rsidDel="00000000" w:rsidR="00000000" w:rsidRPr="00000000">
          <w:rPr>
            <w:rFonts w:ascii="Arial" w:cs="Arial" w:eastAsia="Arial" w:hAnsi="Arial"/>
            <w:u w:val="single"/>
            <w:rtl w:val="0"/>
          </w:rPr>
          <w:t xml:space="preserve">https://biblioteca.gafilat.org/wp-content/uploads/2024/07/Recomendaciones-metodologia-actDIC2023.pdf</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6">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Llobet Rodríguez, Javier y Juan Marcos Rivero Sánchez. </w:t>
      </w:r>
      <w:r w:rsidDel="00000000" w:rsidR="00000000" w:rsidRPr="00000000">
        <w:rPr>
          <w:rFonts w:ascii="Arial" w:cs="Arial" w:eastAsia="Arial" w:hAnsi="Arial"/>
          <w:i w:val="1"/>
          <w:iCs w:val="1"/>
          <w:rtl w:val="0"/>
        </w:rPr>
        <w:t xml:space="preserve">Comentarios al Código Penal: (Análisis de la tutela de los valores fundamentales de la personalidad)</w:t>
      </w:r>
      <w:r w:rsidDel="00000000" w:rsidR="00000000" w:rsidRPr="00000000">
        <w:rPr>
          <w:rFonts w:ascii="Arial" w:cs="Arial" w:eastAsia="Arial" w:hAnsi="Arial"/>
          <w:rtl w:val="0"/>
        </w:rPr>
        <w:t xml:space="preserve">. 1</w:t>
      </w:r>
      <w:r w:rsidDel="00000000" w:rsidR="00000000" w:rsidRPr="00000000">
        <w:rPr>
          <w:rFonts w:ascii="Arial" w:cs="Arial" w:eastAsia="Arial" w:hAnsi="Arial"/>
          <w:vertAlign w:val="superscript"/>
          <w:rtl w:val="0"/>
        </w:rPr>
        <w:t xml:space="preserve">a</w:t>
      </w:r>
      <w:r w:rsidDel="00000000" w:rsidR="00000000" w:rsidRPr="00000000">
        <w:rPr>
          <w:rFonts w:ascii="Arial" w:cs="Arial" w:eastAsia="Arial" w:hAnsi="Arial"/>
          <w:rtl w:val="0"/>
        </w:rPr>
        <w:t xml:space="preserve"> ed. San José, Costa Rica: Editorial Juricentro, 1989.</w:t>
      </w:r>
      <w:r w:rsidDel="00000000" w:rsidR="00000000" w:rsidRPr="00000000">
        <w:rPr>
          <w:rFonts w:ascii="Aptos" w:cs="Aptos" w:eastAsia="Aptos" w:hAnsi="Aptos"/>
          <w:rtl w:val="0"/>
        </w:rPr>
        <w:t xml:space="preserve">      </w:t>
      </w:r>
      <w:r w:rsidDel="00000000" w:rsidR="00000000" w:rsidRPr="00000000">
        <w:rPr>
          <w:rtl w:val="0"/>
        </w:rPr>
      </w:r>
    </w:p>
    <w:p w:rsidR="00000000" w:rsidDel="00000000" w:rsidP="00000000" w:rsidRDefault="00000000" w:rsidRPr="00000000" w14:paraId="0000008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Mora, H., &amp; Weisleder, J. Lineamientos deontológicos del notariado costarricense. </w:t>
      </w:r>
      <w:r w:rsidDel="00000000" w:rsidR="00000000" w:rsidRPr="00000000">
        <w:rPr>
          <w:rFonts w:ascii="Arial" w:cs="Arial" w:eastAsia="Arial" w:hAnsi="Arial"/>
          <w:rtl w:val="0"/>
        </w:rPr>
        <w:t xml:space="preserve">En </w:t>
      </w:r>
      <w:r w:rsidDel="00000000" w:rsidR="00000000" w:rsidRPr="00000000">
        <w:rPr>
          <w:rFonts w:ascii="Arial" w:cs="Arial" w:eastAsia="Arial" w:hAnsi="Arial"/>
          <w:i w:val="1"/>
          <w:iCs w:val="1"/>
          <w:rtl w:val="0"/>
        </w:rPr>
        <w:t xml:space="preserve">Código</w:t>
      </w:r>
      <w:r w:rsidDel="00000000" w:rsidR="00000000" w:rsidRPr="00000000">
        <w:rPr>
          <w:rFonts w:ascii="Arial" w:cs="Arial" w:eastAsia="Arial" w:hAnsi="Arial"/>
          <w:i w:val="1"/>
          <w:iCs w:val="1"/>
          <w:rtl w:val="0"/>
        </w:rPr>
        <w:t xml:space="preserve"> Notarial</w:t>
      </w:r>
      <w:r w:rsidDel="00000000" w:rsidR="00000000" w:rsidRPr="00000000">
        <w:rPr>
          <w:rFonts w:ascii="Arial" w:cs="Arial" w:eastAsia="Arial" w:hAnsi="Arial"/>
          <w:rtl w:val="0"/>
        </w:rPr>
        <w:t xml:space="preserve">. 2025.</w:t>
      </w:r>
    </w:p>
    <w:p w:rsidR="00000000" w:rsidDel="00000000" w:rsidP="00000000" w:rsidRDefault="00000000" w:rsidRPr="00000000" w14:paraId="00000088">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Mora, H., &amp; Weisleder, J. Lineamientos para el ejercicio y control del servicio notarial. En </w:t>
      </w:r>
      <w:r w:rsidDel="00000000" w:rsidR="00000000" w:rsidRPr="00000000">
        <w:rPr>
          <w:rFonts w:ascii="Arial" w:cs="Arial" w:eastAsia="Arial" w:hAnsi="Arial"/>
          <w:i w:val="1"/>
          <w:iCs w:val="1"/>
          <w:rtl w:val="0"/>
        </w:rPr>
        <w:t xml:space="preserve">Código Notarial</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2025.</w:t>
      </w:r>
    </w:p>
    <w:p w:rsidR="00000000" w:rsidDel="00000000" w:rsidP="00000000" w:rsidRDefault="00000000" w:rsidRPr="00000000" w14:paraId="00000089">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Poder Ejecutivo de la República de Costa Rica, “Reglamentación de los artículos 15 bis y 15 ter de la ley N° 7786 Ley sobre estupefacientes, sustancias psicotrópicas, drogas de uso no autorizado, actividades conexas, legitimación de capitales y financiamiento al terrorismo, Decreto Ejecutivo 41016”, [Emitido 10 de abril 2018].</w:t>
      </w:r>
    </w:p>
    <w:p w:rsidR="00000000" w:rsidDel="00000000" w:rsidP="00000000" w:rsidRDefault="00000000" w:rsidRPr="00000000" w14:paraId="0000008A">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i w:val="1"/>
          <w:iCs w:val="1"/>
          <w:rtl w:val="0"/>
        </w:rPr>
        <w:t xml:space="preserve">Sala Constitucional: Resolución N</w:t>
      </w:r>
      <w:r w:rsidDel="00000000" w:rsidR="00000000" w:rsidRPr="00000000">
        <w:rPr>
          <w:rFonts w:ascii="Arial" w:cs="Arial" w:eastAsia="Arial" w:hAnsi="Arial"/>
          <w:i w:val="1"/>
          <w:iCs w:val="1"/>
          <w:vertAlign w:val="superscript"/>
          <w:rtl w:val="0"/>
        </w:rPr>
        <w:t xml:space="preserve">o</w:t>
      </w:r>
      <w:r w:rsidDel="00000000" w:rsidR="00000000" w:rsidRPr="00000000">
        <w:rPr>
          <w:rFonts w:ascii="Arial" w:cs="Arial" w:eastAsia="Arial" w:hAnsi="Arial"/>
          <w:i w:val="1"/>
          <w:iCs w:val="1"/>
          <w:rtl w:val="0"/>
        </w:rPr>
        <w:t xml:space="preserve"> 08043 - 2017</w:t>
      </w:r>
      <w:r w:rsidDel="00000000" w:rsidR="00000000" w:rsidRPr="00000000">
        <w:rPr>
          <w:rFonts w:ascii="Arial" w:cs="Arial" w:eastAsia="Arial" w:hAnsi="Arial"/>
          <w:rtl w:val="0"/>
        </w:rPr>
        <w:t xml:space="preserve">. (2017, 17 mayo). Poder Judicial. </w:t>
      </w:r>
      <w:hyperlink r:id="rId13">
        <w:r w:rsidDel="00000000" w:rsidR="00000000" w:rsidRPr="00000000">
          <w:rPr>
            <w:rFonts w:ascii="Arial" w:cs="Arial" w:eastAsia="Arial" w:hAnsi="Arial"/>
            <w:u w:val="single"/>
            <w:rtl w:val="0"/>
          </w:rPr>
          <w:t xml:space="preserve">https://nexuspj.poder-judicial.go.cr/document/sen-1-0007-717349</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B">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i w:val="1"/>
          <w:iCs w:val="1"/>
          <w:rtl w:val="0"/>
        </w:rPr>
        <w:t xml:space="preserve">Sala Constitucional: Resolución N</w:t>
      </w:r>
      <w:r w:rsidDel="00000000" w:rsidR="00000000" w:rsidRPr="00000000">
        <w:rPr>
          <w:rFonts w:ascii="Arial" w:cs="Arial" w:eastAsia="Arial" w:hAnsi="Arial"/>
          <w:i w:val="1"/>
          <w:iCs w:val="1"/>
          <w:vertAlign w:val="superscript"/>
          <w:rtl w:val="0"/>
        </w:rPr>
        <w:t xml:space="preserve">o</w:t>
      </w:r>
      <w:r w:rsidDel="00000000" w:rsidR="00000000" w:rsidRPr="00000000">
        <w:rPr>
          <w:rFonts w:ascii="Arial" w:cs="Arial" w:eastAsia="Arial" w:hAnsi="Arial"/>
          <w:i w:val="1"/>
          <w:iCs w:val="1"/>
          <w:rtl w:val="0"/>
        </w:rPr>
        <w:t xml:space="preserve"> 19830 - 2020</w:t>
      </w:r>
      <w:r w:rsidDel="00000000" w:rsidR="00000000" w:rsidRPr="00000000">
        <w:rPr>
          <w:rFonts w:ascii="Arial" w:cs="Arial" w:eastAsia="Arial" w:hAnsi="Arial"/>
          <w:rtl w:val="0"/>
        </w:rPr>
        <w:t xml:space="preserve">. (2020, 16 octubre). Poder Judicial. </w:t>
      </w:r>
      <w:hyperlink r:id="rId14">
        <w:r w:rsidDel="00000000" w:rsidR="00000000" w:rsidRPr="00000000">
          <w:rPr>
            <w:rFonts w:ascii="Arial" w:cs="Arial" w:eastAsia="Arial" w:hAnsi="Arial"/>
            <w:u w:val="single"/>
            <w:rtl w:val="0"/>
          </w:rPr>
          <w:t xml:space="preserve">https://nexuspj.poder-judicial.go.cr/document/sen-1-0007-998862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C">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i w:val="1"/>
          <w:iCs w:val="1"/>
          <w:rtl w:val="0"/>
        </w:rPr>
        <w:t xml:space="preserve">Sala Tercera de la Corte: Resolución N</w:t>
      </w:r>
      <w:r w:rsidDel="00000000" w:rsidR="00000000" w:rsidRPr="00000000">
        <w:rPr>
          <w:rFonts w:ascii="Arial" w:cs="Arial" w:eastAsia="Arial" w:hAnsi="Arial"/>
          <w:i w:val="1"/>
          <w:iCs w:val="1"/>
          <w:vertAlign w:val="superscript"/>
          <w:rtl w:val="0"/>
        </w:rPr>
        <w:t xml:space="preserve">o</w:t>
      </w:r>
      <w:r w:rsidDel="00000000" w:rsidR="00000000" w:rsidRPr="00000000">
        <w:rPr>
          <w:rFonts w:ascii="Arial" w:cs="Arial" w:eastAsia="Arial" w:hAnsi="Arial"/>
          <w:i w:val="1"/>
          <w:iCs w:val="1"/>
          <w:rtl w:val="0"/>
        </w:rPr>
        <w:t xml:space="preserve"> 00740 - 2021</w:t>
      </w:r>
      <w:r w:rsidDel="00000000" w:rsidR="00000000" w:rsidRPr="00000000">
        <w:rPr>
          <w:rFonts w:ascii="Arial" w:cs="Arial" w:eastAsia="Arial" w:hAnsi="Arial"/>
          <w:rtl w:val="0"/>
        </w:rPr>
        <w:t xml:space="preserve">. (2021, 9 julio). Poder Judicial. </w:t>
      </w:r>
      <w:hyperlink r:id="rId15">
        <w:r w:rsidDel="00000000" w:rsidR="00000000" w:rsidRPr="00000000">
          <w:rPr>
            <w:rFonts w:ascii="Arial" w:cs="Arial" w:eastAsia="Arial" w:hAnsi="Arial"/>
            <w:u w:val="single"/>
            <w:rtl w:val="0"/>
          </w:rPr>
          <w:t xml:space="preserve">https://nexuspj.poder-judicial.go.cr/document/sen-1-0006-1040663</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D">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i w:val="1"/>
          <w:iCs w:val="1"/>
          <w:rtl w:val="0"/>
        </w:rPr>
        <w:t xml:space="preserve">Tribunal de Casación Penal de San Ramón: Resolución N</w:t>
      </w:r>
      <w:r w:rsidDel="00000000" w:rsidR="00000000" w:rsidRPr="00000000">
        <w:rPr>
          <w:rFonts w:ascii="Arial" w:cs="Arial" w:eastAsia="Arial" w:hAnsi="Arial"/>
          <w:i w:val="1"/>
          <w:iCs w:val="1"/>
          <w:vertAlign w:val="superscript"/>
          <w:rtl w:val="0"/>
        </w:rPr>
        <w:t xml:space="preserve">o</w:t>
      </w:r>
      <w:r w:rsidDel="00000000" w:rsidR="00000000" w:rsidRPr="00000000">
        <w:rPr>
          <w:rFonts w:ascii="Arial" w:cs="Arial" w:eastAsia="Arial" w:hAnsi="Arial"/>
          <w:i w:val="1"/>
          <w:iCs w:val="1"/>
          <w:rtl w:val="0"/>
        </w:rPr>
        <w:t xml:space="preserve"> 00156 - 2011</w:t>
      </w:r>
      <w:r w:rsidDel="00000000" w:rsidR="00000000" w:rsidRPr="00000000">
        <w:rPr>
          <w:rFonts w:ascii="Arial" w:cs="Arial" w:eastAsia="Arial" w:hAnsi="Arial"/>
          <w:rtl w:val="0"/>
        </w:rPr>
        <w:t xml:space="preserve">. (2011, 3 mayo). Poder Judicial. </w:t>
      </w:r>
      <w:hyperlink r:id="rId16">
        <w:r w:rsidDel="00000000" w:rsidR="00000000" w:rsidRPr="00000000">
          <w:rPr>
            <w:rFonts w:ascii="Arial" w:cs="Arial" w:eastAsia="Arial" w:hAnsi="Arial"/>
            <w:u w:val="single"/>
            <w:rtl w:val="0"/>
          </w:rPr>
          <w:t xml:space="preserve">https://nexuspj.poder-judicial.go.cr/document/sen-1-0034-514969</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E">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Trigo Alonso, Ana María. “El secreto profesional del abogado.” </w:t>
      </w:r>
      <w:r w:rsidDel="00000000" w:rsidR="00000000" w:rsidRPr="00000000">
        <w:rPr>
          <w:rFonts w:ascii="Arial" w:cs="Arial" w:eastAsia="Arial" w:hAnsi="Arial"/>
          <w:i w:val="1"/>
          <w:iCs w:val="1"/>
          <w:rtl w:val="0"/>
        </w:rPr>
        <w:t xml:space="preserve">Revista Digital de ACTA</w:t>
      </w:r>
      <w:r w:rsidDel="00000000" w:rsidR="00000000" w:rsidRPr="00000000">
        <w:rPr>
          <w:rFonts w:ascii="Arial" w:cs="Arial" w:eastAsia="Arial" w:hAnsi="Arial"/>
          <w:rtl w:val="0"/>
        </w:rPr>
        <w:t xml:space="preserve">, no. 76 (2020): 1-26. </w:t>
      </w:r>
      <w:hyperlink r:id="rId17">
        <w:r w:rsidDel="00000000" w:rsidR="00000000" w:rsidRPr="00000000">
          <w:rPr>
            <w:rFonts w:ascii="Arial" w:cs="Arial" w:eastAsia="Arial" w:hAnsi="Arial"/>
            <w:u w:val="single"/>
            <w:rtl w:val="0"/>
          </w:rPr>
          <w:t xml:space="preserve">https://www.acta.es/medios/articulos/formacion_y_educacion/076001.pdf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8F">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Vidal Domínguez, Ignacio. “El secreto profesional ante el notario.” </w:t>
      </w:r>
      <w:r w:rsidDel="00000000" w:rsidR="00000000" w:rsidRPr="00000000">
        <w:rPr>
          <w:rFonts w:ascii="Arial" w:cs="Arial" w:eastAsia="Arial" w:hAnsi="Arial"/>
          <w:i w:val="1"/>
          <w:iCs w:val="1"/>
          <w:rtl w:val="0"/>
        </w:rPr>
        <w:t xml:space="preserve">Revista Ius et Praxis</w:t>
      </w:r>
      <w:r w:rsidDel="00000000" w:rsidR="00000000" w:rsidRPr="00000000">
        <w:rPr>
          <w:rFonts w:ascii="Arial" w:cs="Arial" w:eastAsia="Arial" w:hAnsi="Arial"/>
          <w:rtl w:val="0"/>
        </w:rPr>
        <w:t xml:space="preserve"> 8, no. 2 (2002): 479-517. </w:t>
      </w:r>
      <w:hyperlink r:id="rId18">
        <w:r w:rsidDel="00000000" w:rsidR="00000000" w:rsidRPr="00000000">
          <w:rPr>
            <w:rFonts w:ascii="Arial" w:cs="Arial" w:eastAsia="Arial" w:hAnsi="Arial"/>
            <w:u w:val="single"/>
            <w:rtl w:val="0"/>
          </w:rPr>
          <w:t xml:space="preserve">https://www.redalyc.org/articulo.oa?id=19780215</w:t>
        </w:r>
      </w:hyperlink>
      <w:r w:rsidDel="00000000" w:rsidR="00000000" w:rsidRPr="00000000">
        <w:rPr>
          <w:rFonts w:ascii="Arial" w:cs="Arial" w:eastAsia="Arial" w:hAnsi="Arial"/>
          <w:rtl w:val="0"/>
        </w:rPr>
        <w:t xml:space="preserve">.</w:t>
      </w:r>
      <w:r w:rsidDel="00000000" w:rsidR="00000000" w:rsidRPr="00000000">
        <w:rPr>
          <w:rtl w:val="0"/>
        </w:rPr>
      </w:r>
    </w:p>
    <w:sectPr>
      <w:headerReference r:id="rId19" w:type="default"/>
      <w:headerReference r:id="rId20" w:type="first"/>
      <w:footerReference r:id="rId21" w:type="default"/>
      <w:footerReference r:id="rId22" w:type="firs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6">
    <w:p w:rsidR="00000000" w:rsidDel="00000000" w:rsidP="00000000" w:rsidRDefault="00000000" w:rsidRPr="00000000" w14:paraId="0000009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Fransisco Castillo González, </w:t>
      </w:r>
      <w:r w:rsidDel="00000000" w:rsidR="00000000" w:rsidRPr="00000000">
        <w:rPr>
          <w:rFonts w:ascii="Times New Roman" w:cs="Times New Roman" w:eastAsia="Times New Roman" w:hAnsi="Times New Roman"/>
          <w:i w:val="1"/>
          <w:iCs w:val="1"/>
          <w:sz w:val="20"/>
          <w:szCs w:val="20"/>
          <w:rtl w:val="0"/>
        </w:rPr>
        <w:t xml:space="preserve">Derecho penal: parte general. Tomo 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San José, Costa Rica: Editorial Jurídica Continental, 2010), 363.</w:t>
      </w:r>
    </w:p>
  </w:footnote>
  <w:footnote w:id="8">
    <w:p w:rsidR="00000000" w:rsidDel="00000000" w:rsidP="00000000" w:rsidRDefault="00000000" w:rsidRPr="00000000" w14:paraId="0000009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Miguel De Lezica, “Secreto profesional y deber de información de los escribanos,” </w:t>
      </w:r>
      <w:r w:rsidDel="00000000" w:rsidR="00000000" w:rsidRPr="00000000">
        <w:rPr>
          <w:rFonts w:ascii="Times New Roman" w:cs="Times New Roman" w:eastAsia="Times New Roman" w:hAnsi="Times New Roman"/>
          <w:i w:val="1"/>
          <w:iCs w:val="1"/>
          <w:sz w:val="20"/>
          <w:szCs w:val="20"/>
          <w:rtl w:val="0"/>
        </w:rPr>
        <w:t xml:space="preserve">Anales de la Universidad Notarial Argentina</w:t>
      </w:r>
      <w:r w:rsidDel="00000000" w:rsidR="00000000" w:rsidRPr="00000000">
        <w:rPr>
          <w:rFonts w:ascii="Times New Roman" w:cs="Times New Roman" w:eastAsia="Times New Roman" w:hAnsi="Times New Roman"/>
          <w:sz w:val="20"/>
          <w:szCs w:val="20"/>
          <w:rtl w:val="0"/>
        </w:rPr>
        <w:t xml:space="preserve">, no. 2 (abril 2025): 21, https://doi.org/10.70161/30726948auna2abril34.</w:t>
      </w:r>
    </w:p>
    <w:p w:rsidR="00000000" w:rsidDel="00000000" w:rsidP="00000000" w:rsidRDefault="00000000" w:rsidRPr="00000000" w14:paraId="00000095">
      <w:pPr>
        <w:spacing w:after="0" w:line="240" w:lineRule="auto"/>
        <w:rPr>
          <w:sz w:val="20"/>
          <w:szCs w:val="20"/>
        </w:rPr>
      </w:pPr>
      <w:r w:rsidDel="00000000" w:rsidR="00000000" w:rsidRPr="00000000">
        <w:rPr>
          <w:rtl w:val="0"/>
        </w:rPr>
      </w:r>
    </w:p>
  </w:footnote>
  <w:footnote w:id="9">
    <w:p w:rsidR="00000000" w:rsidDel="00000000" w:rsidP="00000000" w:rsidRDefault="00000000" w:rsidRPr="00000000" w14:paraId="0000009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Miguel De Lezica, “Secreto profesional y deber de información de los escribanos”, 22.</w:t>
      </w:r>
    </w:p>
  </w:footnote>
  <w:footnote w:id="13">
    <w:p w:rsidR="00000000" w:rsidDel="00000000" w:rsidP="00000000" w:rsidRDefault="00000000" w:rsidRPr="00000000" w14:paraId="0000009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Dirección Nacional de Notariado. “Área de Prevención LCFT”, Recuperado el 1 de julio 2025, https://www.dnn.go.cr/area-prevencion. </w:t>
      </w:r>
    </w:p>
  </w:footnote>
  <w:footnote w:id="16">
    <w:p w:rsidR="00000000" w:rsidDel="00000000" w:rsidP="00000000" w:rsidRDefault="00000000" w:rsidRPr="00000000" w14:paraId="00000098">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Dirección Nacional de Notariado. “Área de Prevención LCFT”</w:t>
      </w:r>
    </w:p>
  </w:footnote>
  <w:footnote w:id="18">
    <w:p w:rsidR="00000000" w:rsidDel="00000000" w:rsidP="00000000" w:rsidRDefault="00000000" w:rsidRPr="00000000" w14:paraId="00000099">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Dirección Nacional de Notariado. “Área de Prevención LCFT”</w:t>
      </w:r>
    </w:p>
  </w:footnote>
  <w:footnote w:id="20">
    <w:p w:rsidR="00000000" w:rsidDel="00000000" w:rsidP="00000000" w:rsidRDefault="00000000" w:rsidRPr="00000000" w14:paraId="0000009A">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Dirección Nacional de Notariado. “Área de Prevención LCFT”.</w:t>
      </w:r>
      <w:r w:rsidDel="00000000" w:rsidR="00000000" w:rsidRPr="00000000">
        <w:rPr>
          <w:rtl w:val="0"/>
        </w:rPr>
      </w:r>
    </w:p>
  </w:footnote>
  <w:footnote w:id="22">
    <w:p w:rsidR="00000000" w:rsidDel="00000000" w:rsidP="00000000" w:rsidRDefault="00000000" w:rsidRPr="00000000" w14:paraId="0000009B">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Dirección Nacional de Notariado. “Área de Prevención LCFT”.</w:t>
      </w:r>
    </w:p>
  </w:footnote>
  <w:footnote w:id="14">
    <w:p w:rsidR="00000000" w:rsidDel="00000000" w:rsidP="00000000" w:rsidRDefault="00000000" w:rsidRPr="00000000" w14:paraId="0000009C">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0">
    <w:p w:rsidR="00000000" w:rsidDel="00000000" w:rsidP="00000000" w:rsidRDefault="00000000" w:rsidRPr="00000000" w14:paraId="0000009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Grupo de Acción Financiera de Latinoamérica (GAFILAT). “Estándares internacionales sobre la lucha contra el lavado de activos, el financiamiento del terrorismo, y el financiamiento de la proliferación de armas de destrucción masiva,” (2023), 23, https://biblioteca.gafilat.org/wp-content/uploads/2024/07/Recomendaciones-metodologia-actDIC2023.pdf</w:t>
      </w:r>
    </w:p>
  </w:footnote>
  <w:footnote w:id="11">
    <w:p w:rsidR="00000000" w:rsidDel="00000000" w:rsidP="00000000" w:rsidRDefault="00000000" w:rsidRPr="00000000" w14:paraId="0000009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Grupo de Acción Financiera de Latinoamérica (GAFILAT). “Estándares internacionales sobre la lucha contra el lavado de activos, el financiamiento del terrorismo, y el financiamiento de la proliferación de armas de destrucción masiva”, 237</w:t>
      </w:r>
      <w:r w:rsidDel="00000000" w:rsidR="00000000" w:rsidRPr="00000000">
        <w:rPr>
          <w:rtl w:val="0"/>
        </w:rPr>
      </w:r>
    </w:p>
  </w:footnote>
  <w:footnote w:id="31">
    <w:p w:rsidR="00000000" w:rsidDel="00000000" w:rsidP="00000000" w:rsidRDefault="00000000" w:rsidRPr="00000000" w14:paraId="0000009F">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Javier Llobet Rodríguez y Juan Marcos Rivero Sánchez. </w:t>
      </w:r>
      <w:r w:rsidDel="00000000" w:rsidR="00000000" w:rsidRPr="00000000">
        <w:rPr>
          <w:rFonts w:ascii="Times New Roman" w:cs="Times New Roman" w:eastAsia="Times New Roman" w:hAnsi="Times New Roman"/>
          <w:i w:val="1"/>
          <w:iCs w:val="1"/>
          <w:sz w:val="20"/>
          <w:szCs w:val="20"/>
          <w:rtl w:val="0"/>
        </w:rPr>
        <w:t xml:space="preserve">Comentarios al Código Penal: (Análisis de la tutela de los valores fundamentales de la personalidad)</w:t>
      </w:r>
      <w:r w:rsidDel="00000000" w:rsidR="00000000" w:rsidRPr="00000000">
        <w:rPr>
          <w:rFonts w:ascii="Times New Roman" w:cs="Times New Roman" w:eastAsia="Times New Roman" w:hAnsi="Times New Roman"/>
          <w:sz w:val="20"/>
          <w:szCs w:val="20"/>
          <w:rtl w:val="0"/>
        </w:rPr>
        <w:t xml:space="preserve">, 1a ed. (San José, Costa Rica: Editorial Juricentro, 1989), 372</w:t>
      </w:r>
    </w:p>
  </w:footnote>
  <w:footnote w:id="37">
    <w:p w:rsidR="00000000" w:rsidDel="00000000" w:rsidP="00000000" w:rsidRDefault="00000000" w:rsidRPr="00000000" w14:paraId="000000A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Javier Llobet Rodríguez y Juan Marcos Rivero Sánchez, </w:t>
      </w:r>
      <w:r w:rsidDel="00000000" w:rsidR="00000000" w:rsidRPr="00000000">
        <w:rPr>
          <w:rFonts w:ascii="Times New Roman" w:cs="Times New Roman" w:eastAsia="Times New Roman" w:hAnsi="Times New Roman"/>
          <w:i w:val="1"/>
          <w:iCs w:val="1"/>
          <w:sz w:val="20"/>
          <w:szCs w:val="20"/>
          <w:rtl w:val="0"/>
        </w:rPr>
        <w:t xml:space="preserve">Comentarios al Código Penal: (Análisis de la tutela de los valores fundamentales de la personalidad)</w:t>
      </w:r>
      <w:r w:rsidDel="00000000" w:rsidR="00000000" w:rsidRPr="00000000">
        <w:rPr>
          <w:rFonts w:ascii="Times New Roman" w:cs="Times New Roman" w:eastAsia="Times New Roman" w:hAnsi="Times New Roman"/>
          <w:sz w:val="20"/>
          <w:szCs w:val="20"/>
          <w:rtl w:val="0"/>
        </w:rPr>
        <w:t xml:space="preserve">.</w:t>
      </w:r>
    </w:p>
  </w:footnote>
  <w:footnote w:id="1">
    <w:p w:rsidR="00000000" w:rsidDel="00000000" w:rsidP="00000000" w:rsidRDefault="00000000" w:rsidRPr="00000000" w14:paraId="000000A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Ana María Trigo Alonso. “El secreto profesional del abogado,” </w:t>
      </w:r>
      <w:r w:rsidDel="00000000" w:rsidR="00000000" w:rsidRPr="00000000">
        <w:rPr>
          <w:rFonts w:ascii="Times New Roman" w:cs="Times New Roman" w:eastAsia="Times New Roman" w:hAnsi="Times New Roman"/>
          <w:i w:val="1"/>
          <w:iCs w:val="1"/>
          <w:sz w:val="20"/>
          <w:szCs w:val="20"/>
          <w:rtl w:val="0"/>
        </w:rPr>
        <w:t xml:space="preserve">Revista Digital de ACTA</w:t>
      </w:r>
      <w:r w:rsidDel="00000000" w:rsidR="00000000" w:rsidRPr="00000000">
        <w:rPr>
          <w:rFonts w:ascii="Times New Roman" w:cs="Times New Roman" w:eastAsia="Times New Roman" w:hAnsi="Times New Roman"/>
          <w:sz w:val="20"/>
          <w:szCs w:val="20"/>
          <w:rtl w:val="0"/>
        </w:rPr>
        <w:t xml:space="preserve">, no. 76 (2020): 12, https://www.acta.es/medios/articulos/formacion_y_educacion/076001.pdf </w:t>
      </w:r>
    </w:p>
  </w:footnote>
  <w:footnote w:id="6">
    <w:p w:rsidR="00000000" w:rsidDel="00000000" w:rsidP="00000000" w:rsidRDefault="00000000" w:rsidRPr="00000000" w14:paraId="000000A2">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Ana María Trigo Alonso. “El secreto profesional del abogado”, 6.</w:t>
      </w:r>
      <w:r w:rsidDel="00000000" w:rsidR="00000000" w:rsidRPr="00000000">
        <w:rPr>
          <w:rtl w:val="0"/>
        </w:rPr>
      </w:r>
    </w:p>
  </w:footnote>
  <w:footnote w:id="7">
    <w:p w:rsidR="00000000" w:rsidDel="00000000" w:rsidP="00000000" w:rsidRDefault="00000000" w:rsidRPr="00000000" w14:paraId="000000A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13</w:t>
      </w:r>
    </w:p>
  </w:footnote>
  <w:footnote w:id="3">
    <w:p w:rsidR="00000000" w:rsidDel="00000000" w:rsidP="00000000" w:rsidRDefault="00000000" w:rsidRPr="00000000" w14:paraId="000000A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Ignacio Vidal Domínguez, “El secreto profesional ante el notario,” </w:t>
      </w:r>
      <w:r w:rsidDel="00000000" w:rsidR="00000000" w:rsidRPr="00000000">
        <w:rPr>
          <w:rFonts w:ascii="Times New Roman" w:cs="Times New Roman" w:eastAsia="Times New Roman" w:hAnsi="Times New Roman"/>
          <w:i w:val="1"/>
          <w:iCs w:val="1"/>
          <w:sz w:val="20"/>
          <w:szCs w:val="20"/>
          <w:rtl w:val="0"/>
        </w:rPr>
        <w:t xml:space="preserve">Revista Ius et Praxis</w:t>
      </w:r>
      <w:r w:rsidDel="00000000" w:rsidR="00000000" w:rsidRPr="00000000">
        <w:rPr>
          <w:rFonts w:ascii="Times New Roman" w:cs="Times New Roman" w:eastAsia="Times New Roman" w:hAnsi="Times New Roman"/>
          <w:sz w:val="20"/>
          <w:szCs w:val="20"/>
          <w:rtl w:val="0"/>
        </w:rPr>
        <w:t xml:space="preserve"> 8, no. 2 (2002): 490, https://www.redalyc.org/articulo.oa?id=19780215.</w:t>
      </w:r>
    </w:p>
  </w:footnote>
  <w:footnote w:id="4">
    <w:p w:rsidR="00000000" w:rsidDel="00000000" w:rsidP="00000000" w:rsidRDefault="00000000" w:rsidRPr="00000000" w14:paraId="000000A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499.</w:t>
      </w:r>
    </w:p>
  </w:footnote>
  <w:footnote w:id="0">
    <w:p w:rsidR="00000000" w:rsidDel="00000000" w:rsidP="00000000" w:rsidRDefault="00000000" w:rsidRPr="00000000" w14:paraId="000000A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Abogada. Máster en Ciencias Penales y en Educación con énfasis en docencia universitaria por la Universidad de Costa Rica. Investigadora independiente, Costa Rica.</w:t>
      </w:r>
    </w:p>
  </w:footnote>
  <w:footnote w:id="2">
    <w:p w:rsidR="00000000" w:rsidDel="00000000" w:rsidP="00000000" w:rsidRDefault="00000000" w:rsidRPr="00000000" w14:paraId="000000A7">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Notarial N.° 7764”, [Aprobada 17 de abril 1998], artículo 38.</w:t>
      </w:r>
      <w:r w:rsidDel="00000000" w:rsidR="00000000" w:rsidRPr="00000000">
        <w:rPr>
          <w:rtl w:val="0"/>
        </w:rPr>
      </w:r>
    </w:p>
  </w:footnote>
  <w:footnote w:id="5">
    <w:p w:rsidR="00000000" w:rsidDel="00000000" w:rsidP="00000000" w:rsidRDefault="00000000" w:rsidRPr="00000000" w14:paraId="000000A8">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“Reforma Ley sobre estupefacientes, sustancias psicotrópicas, drogas de uso No Autorizado, actividades Conexas, legitimación de capitales y financiamiento al terrorismo N.° 9449”, [Aprobada 10 de mayo 2017], artículo 15 ter.</w:t>
      </w:r>
      <w:r w:rsidDel="00000000" w:rsidR="00000000" w:rsidRPr="00000000">
        <w:rPr>
          <w:rtl w:val="0"/>
        </w:rPr>
      </w:r>
    </w:p>
  </w:footnote>
  <w:footnote w:id="12">
    <w:p w:rsidR="00000000" w:rsidDel="00000000" w:rsidP="00000000" w:rsidRDefault="00000000" w:rsidRPr="00000000" w14:paraId="000000A9">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“Reforma Ley sobre estupefacientes, sustancias psicotrópicas, drogas de uso No Autorizado, actividades Conexas, legitimación de capitales y financiamiento al terrorismo N.° 9449”, [Aprobada 10 de mayo 2017], artículo 15 ter.</w:t>
      </w:r>
      <w:r w:rsidDel="00000000" w:rsidR="00000000" w:rsidRPr="00000000">
        <w:rPr>
          <w:rtl w:val="0"/>
        </w:rPr>
      </w:r>
    </w:p>
  </w:footnote>
  <w:footnote w:id="15">
    <w:p w:rsidR="00000000" w:rsidDel="00000000" w:rsidP="00000000" w:rsidRDefault="00000000" w:rsidRPr="00000000" w14:paraId="000000AA">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“Ley sobre estupefacientes, sustancias psicotrópicas, drogas de uso No Autorizado, actividades Conexas, legitimación de capitales y financiamiento al terrorismo N.° 7786”, [Aprobada 30 de abril 1998], artículo 15 ter.</w:t>
      </w:r>
      <w:r w:rsidDel="00000000" w:rsidR="00000000" w:rsidRPr="00000000">
        <w:rPr>
          <w:rtl w:val="0"/>
        </w:rPr>
      </w:r>
    </w:p>
  </w:footnote>
  <w:footnote w:id="17">
    <w:p w:rsidR="00000000" w:rsidDel="00000000" w:rsidP="00000000" w:rsidRDefault="00000000" w:rsidRPr="00000000" w14:paraId="000000AB">
      <w:pPr>
        <w:spacing w:after="0" w:line="240" w:lineRule="auto"/>
        <w:jc w:val="both"/>
        <w:rPr>
          <w:b w:val="1"/>
          <w:b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“Ley sobre estupefacientes, sustancias psicotrópicas, drogas de uso No Autorizado, actividades Conexas, legitimación de capitales y financiamiento al terrorismo N.° 7786”, [Aprobada 30 de abril 1998], artículo 15 ter.</w:t>
      </w:r>
      <w:r w:rsidDel="00000000" w:rsidR="00000000" w:rsidRPr="00000000">
        <w:rPr>
          <w:rtl w:val="0"/>
        </w:rPr>
      </w:r>
    </w:p>
  </w:footnote>
  <w:footnote w:id="19">
    <w:p w:rsidR="00000000" w:rsidDel="00000000" w:rsidP="00000000" w:rsidRDefault="00000000" w:rsidRPr="00000000" w14:paraId="000000AC">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Notarial N.° 7764”, [Aprobada 17 de abril 1998], artículos 39,83,84,85 y 95.</w:t>
      </w:r>
      <w:r w:rsidDel="00000000" w:rsidR="00000000" w:rsidRPr="00000000">
        <w:rPr>
          <w:rtl w:val="0"/>
        </w:rPr>
      </w:r>
    </w:p>
  </w:footnote>
  <w:footnote w:id="21">
    <w:p w:rsidR="00000000" w:rsidDel="00000000" w:rsidP="00000000" w:rsidRDefault="00000000" w:rsidRPr="00000000" w14:paraId="000000AD">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Notarial N.° 7764”, [Aprobada 17 de abril 1998], artículos 36. </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“Ley sobre estupefacientes, sustancias psicotrópicas, drogas de uso No Autorizado, actividades Conexas, legitimación de capitales y financiamiento al terrorismo N.° 7786”, [Aprobada 30 de abril 1998], artículo 15 ter.</w:t>
      </w:r>
      <w:r w:rsidDel="00000000" w:rsidR="00000000" w:rsidRPr="00000000">
        <w:rPr>
          <w:rtl w:val="0"/>
        </w:rPr>
      </w:r>
    </w:p>
  </w:footnote>
  <w:footnote w:id="23">
    <w:p w:rsidR="00000000" w:rsidDel="00000000" w:rsidP="00000000" w:rsidRDefault="00000000" w:rsidRPr="00000000" w14:paraId="000000AE">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 Ejecutivo de la República de Costa Rica, “Reglamentación de los artículos 15 bis y 15 ter de la ley N° 7786 Ley sobre estupefacientes, sustancias psicotrópicas, drogas de uso no autorizado, actividades conexas, legitimación de capitales y financiamiento al terrorismo, Decreto Ejecutivo 41016”, [Emitido 10 de abril 2018], artículo 19.</w:t>
      </w:r>
    </w:p>
  </w:footnote>
  <w:footnote w:id="24">
    <w:p w:rsidR="00000000" w:rsidDel="00000000" w:rsidP="00000000" w:rsidRDefault="00000000" w:rsidRPr="00000000" w14:paraId="000000A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Notarial N.° 7764”, [Aprobada 17 de abril 1998], artículo 36.</w:t>
      </w:r>
      <w:r w:rsidDel="00000000" w:rsidR="00000000" w:rsidRPr="00000000">
        <w:rPr>
          <w:rtl w:val="0"/>
        </w:rPr>
      </w:r>
    </w:p>
  </w:footnote>
  <w:footnote w:id="25">
    <w:p w:rsidR="00000000" w:rsidDel="00000000" w:rsidP="00000000" w:rsidRDefault="00000000" w:rsidRPr="00000000" w14:paraId="000000B0">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Estrategia Nacional De Lucha contra la Legitimación de Capitales y el Financiamiento al Terrorismo, (2015), 13</w:t>
      </w:r>
    </w:p>
  </w:footnote>
  <w:footnote w:id="26">
    <w:p w:rsidR="00000000" w:rsidDel="00000000" w:rsidP="00000000" w:rsidRDefault="00000000" w:rsidRPr="00000000" w14:paraId="000000B1">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“Ley sobre estupefacientes, sustancias psicotrópicas, drogas de uso No Autorizado, actividades Conexas, legitimación de capitales y financiamiento al terrorismo N.° 7786”, [Aprobada 30 de abril 1998], artículo 15 ter.</w:t>
      </w:r>
      <w:r w:rsidDel="00000000" w:rsidR="00000000" w:rsidRPr="00000000">
        <w:rPr>
          <w:rtl w:val="0"/>
        </w:rPr>
      </w:r>
    </w:p>
  </w:footnote>
  <w:footnote w:id="27">
    <w:p w:rsidR="00000000" w:rsidDel="00000000" w:rsidP="00000000" w:rsidRDefault="00000000" w:rsidRPr="00000000" w14:paraId="000000B2">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Asamblea Legislativa de la República de Costa Rica, “Código Penal N.° 4573”, [Aprobada 4 de mayo 1970].</w:t>
      </w:r>
      <w:r w:rsidDel="00000000" w:rsidR="00000000" w:rsidRPr="00000000">
        <w:rPr>
          <w:rtl w:val="0"/>
        </w:rPr>
      </w:r>
    </w:p>
  </w:footnote>
  <w:footnote w:id="28">
    <w:p w:rsidR="00000000" w:rsidDel="00000000" w:rsidP="00000000" w:rsidRDefault="00000000" w:rsidRPr="00000000" w14:paraId="000000B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Costa Rica, “Constitución Política de la República de Costa Rica”, [Aprobada 7 de noviembre 1949], artículo 24.</w:t>
      </w:r>
      <w:r w:rsidDel="00000000" w:rsidR="00000000" w:rsidRPr="00000000">
        <w:rPr>
          <w:rtl w:val="0"/>
        </w:rPr>
      </w:r>
    </w:p>
  </w:footnote>
  <w:footnote w:id="29">
    <w:p w:rsidR="00000000" w:rsidDel="00000000" w:rsidP="00000000" w:rsidRDefault="00000000" w:rsidRPr="00000000" w14:paraId="000000B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Constitucional de la Corte Suprema de Justicia, “Resolución 19830-2020 de las 9:30 horas del 16 de octubre.”</w:t>
      </w:r>
    </w:p>
  </w:footnote>
  <w:footnote w:id="30">
    <w:p w:rsidR="00000000" w:rsidDel="00000000" w:rsidP="00000000" w:rsidRDefault="00000000" w:rsidRPr="00000000" w14:paraId="000000B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Constitucional de la Corte Suprema de Justicia, “Resolución 008043-2017.”</w:t>
      </w:r>
    </w:p>
  </w:footnote>
  <w:footnote w:id="32">
    <w:p w:rsidR="00000000" w:rsidDel="00000000" w:rsidP="00000000" w:rsidRDefault="00000000" w:rsidRPr="00000000" w14:paraId="000000B6">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Tribunal de Casación Penal de San Ramón, “Resolución 00156 – 2011.”</w:t>
      </w:r>
    </w:p>
  </w:footnote>
  <w:footnote w:id="33">
    <w:p w:rsidR="00000000" w:rsidDel="00000000" w:rsidP="00000000" w:rsidRDefault="00000000" w:rsidRPr="00000000" w14:paraId="000000B7">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Asamblea Legislativa de la República de Costa Rica, “Código Procesal Penal N.° 7594”, [Aprobada 10 de abril 1996], artículo </w:t>
      </w:r>
      <w:r w:rsidDel="00000000" w:rsidR="00000000" w:rsidRPr="00000000">
        <w:rPr>
          <w:rFonts w:ascii="Times New Roman" w:cs="Times New Roman" w:eastAsia="Times New Roman" w:hAnsi="Times New Roman"/>
          <w:sz w:val="20"/>
          <w:szCs w:val="20"/>
          <w:rtl w:val="0"/>
        </w:rPr>
        <w:t xml:space="preserve">206</w:t>
      </w:r>
      <w:r w:rsidDel="00000000" w:rsidR="00000000" w:rsidRPr="00000000">
        <w:rPr>
          <w:rFonts w:ascii="Times New Roman" w:cs="Times New Roman" w:eastAsia="Times New Roman" w:hAnsi="Times New Roman"/>
          <w:sz w:val="20"/>
          <w:szCs w:val="20"/>
          <w:rtl w:val="0"/>
        </w:rPr>
        <w:t xml:space="preserve">.</w:t>
      </w:r>
    </w:p>
  </w:footnote>
  <w:footnote w:id="34">
    <w:p w:rsidR="00000000" w:rsidDel="00000000" w:rsidP="00000000" w:rsidRDefault="00000000" w:rsidRPr="00000000" w14:paraId="000000B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Tercera de la Corte Suprema de Justicia, “Resolución 00740-2021.”</w:t>
      </w:r>
    </w:p>
  </w:footnote>
  <w:footnote w:id="35">
    <w:p w:rsidR="00000000" w:rsidDel="00000000" w:rsidP="00000000" w:rsidRDefault="00000000" w:rsidRPr="00000000" w14:paraId="000000B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Sala Tercera de la Corte Suprema de Justicia, “Resolución 00740 – 2021.”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92">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after="0"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5 (36) (17). Año 5. ISSN 2515-6704. RDCP- UCR. 2025.</w:t>
    </w:r>
  </w:p>
  <w:p w:rsidR="00000000" w:rsidDel="00000000" w:rsidP="00000000" w:rsidRDefault="00000000" w:rsidRPr="00000000" w14:paraId="000000BC">
    <w:pPr>
      <w:spacing w:after="200" w:line="276" w:lineRule="auto"/>
      <w:jc w:val="center"/>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4%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069EA"/>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069EA"/>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069EA"/>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069EA"/>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D069EA"/>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069EA"/>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069EA"/>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069EA"/>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069EA"/>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069EA"/>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069EA"/>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069EA"/>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069EA"/>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069EA"/>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069EA"/>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069EA"/>
    <w:rPr>
      <w:i w:val="1"/>
      <w:iCs w:val="1"/>
      <w:color w:val="404040" w:themeColor="text1" w:themeTint="0000BF"/>
    </w:rPr>
  </w:style>
  <w:style w:type="paragraph" w:styleId="Prrafodelista">
    <w:name w:val="List Paragraph"/>
    <w:basedOn w:val="Normal"/>
    <w:uiPriority w:val="34"/>
    <w:qFormat w:val="1"/>
    <w:rsid w:val="00D069EA"/>
    <w:pPr>
      <w:ind w:left="720"/>
      <w:contextualSpacing w:val="1"/>
    </w:pPr>
  </w:style>
  <w:style w:type="character" w:styleId="nfasisintenso">
    <w:name w:val="Intense Emphasis"/>
    <w:basedOn w:val="Fuentedeprrafopredeter"/>
    <w:uiPriority w:val="21"/>
    <w:qFormat w:val="1"/>
    <w:rsid w:val="00D069EA"/>
    <w:rPr>
      <w:i w:val="1"/>
      <w:iCs w:val="1"/>
      <w:color w:val="0f4761" w:themeColor="accent1" w:themeShade="0000BF"/>
    </w:rPr>
  </w:style>
  <w:style w:type="paragraph" w:styleId="Citadestacada">
    <w:name w:val="Intense Quote"/>
    <w:basedOn w:val="Normal"/>
    <w:next w:val="Normal"/>
    <w:link w:val="CitadestacadaCar"/>
    <w:uiPriority w:val="30"/>
    <w:qFormat w:val="1"/>
    <w:rsid w:val="00D069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069EA"/>
    <w:rPr>
      <w:i w:val="1"/>
      <w:iCs w:val="1"/>
      <w:color w:val="0f4761" w:themeColor="accent1" w:themeShade="0000BF"/>
    </w:rPr>
  </w:style>
  <w:style w:type="character" w:styleId="Referenciaintensa">
    <w:name w:val="Intense Reference"/>
    <w:basedOn w:val="Fuentedeprrafopredeter"/>
    <w:uiPriority w:val="32"/>
    <w:qFormat w:val="1"/>
    <w:rsid w:val="00D069EA"/>
    <w:rPr>
      <w:b w:val="1"/>
      <w:bCs w:val="1"/>
      <w:smallCaps w:val="1"/>
      <w:color w:val="0f4761" w:themeColor="accent1" w:themeShade="0000BF"/>
      <w:spacing w:val="5"/>
    </w:rPr>
  </w:style>
  <w:style w:type="paragraph" w:styleId="NormalWeb">
    <w:name w:val="Normal (Web)"/>
    <w:basedOn w:val="Normal"/>
    <w:uiPriority w:val="99"/>
    <w:unhideWhenUsed w:val="1"/>
    <w:rsid w:val="00D069EA"/>
    <w:pPr>
      <w:spacing w:after="100" w:afterAutospacing="1" w:before="100" w:beforeAutospacing="1" w:line="240" w:lineRule="auto"/>
    </w:pPr>
    <w:rPr>
      <w:rFonts w:ascii="Times New Roman" w:cs="Times New Roman" w:eastAsia="Times New Roman" w:hAnsi="Times New Roman"/>
      <w:kern w:val="0"/>
      <w:lang w:eastAsia="es-CR"/>
    </w:rPr>
  </w:style>
  <w:style w:type="character" w:styleId="Hipervnculo">
    <w:name w:val="Hyperlink"/>
    <w:basedOn w:val="Fuentedeprrafopredeter"/>
    <w:uiPriority w:val="99"/>
    <w:unhideWhenUsed w:val="1"/>
    <w:rsid w:val="00D069EA"/>
    <w:rPr>
      <w:color w:val="0000ff"/>
      <w:u w:val="single"/>
    </w:rPr>
  </w:style>
  <w:style w:type="paragraph" w:styleId="Encabezado">
    <w:name w:val="header"/>
    <w:basedOn w:val="Normal"/>
    <w:link w:val="EncabezadoCar"/>
    <w:uiPriority w:val="99"/>
    <w:unhideWhenUsed w:val="1"/>
    <w:rsid w:val="001E4E7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E4E7E"/>
  </w:style>
  <w:style w:type="paragraph" w:styleId="Piedepgina">
    <w:name w:val="footer"/>
    <w:basedOn w:val="Normal"/>
    <w:link w:val="PiedepginaCar"/>
    <w:uiPriority w:val="99"/>
    <w:unhideWhenUsed w:val="1"/>
    <w:rsid w:val="001E4E7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E4E7E"/>
  </w:style>
  <w:style w:type="table" w:styleId="Tablaconcuadrcula2-nfasis2">
    <w:name w:val="Grid Table 2 Accent 2"/>
    <w:basedOn w:val="Tablanormal"/>
    <w:uiPriority w:val="47"/>
    <w:rsid w:val="00A76A23"/>
    <w:pPr>
      <w:spacing w:after="0" w:line="240" w:lineRule="auto"/>
    </w:pPr>
    <w:tblPr>
      <w:tblStyleRowBandSize w:val="1"/>
      <w:tblStyleColBandSize w:val="1"/>
      <w:tblBorders>
        <w:top w:color="f1a983" w:space="0" w:sz="2" w:themeColor="accent2" w:themeTint="000099" w:val="single"/>
        <w:bottom w:color="f1a983" w:space="0" w:sz="2" w:themeColor="accent2" w:themeTint="000099" w:val="single"/>
        <w:insideH w:color="f1a983" w:space="0" w:sz="2" w:themeColor="accent2" w:themeTint="000099" w:val="single"/>
        <w:insideV w:color="f1a983" w:space="0" w:sz="2" w:themeColor="accent2" w:themeTint="000099" w:val="single"/>
      </w:tblBorders>
    </w:tblPr>
    <w:tblStylePr w:type="firstRow">
      <w:rPr>
        <w:b w:val="1"/>
        <w:bCs w:val="1"/>
      </w:rPr>
      <w:tblPr/>
      <w:tcPr>
        <w:tcBorders>
          <w:top w:space="0" w:sz="0" w:val="nil"/>
          <w:bottom w:color="f1a9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1a9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ae2d5" w:themeFill="accent2" w:themeFillTint="000033" w:val="clear"/>
      </w:tcPr>
    </w:tblStylePr>
    <w:tblStylePr w:type="band1Horz">
      <w:tblPr/>
      <w:tcPr>
        <w:shd w:color="auto" w:fill="fae2d5" w:themeFill="accent2" w:themeFillTint="000033" w:val="clear"/>
      </w:tcPr>
    </w:tblStylePr>
  </w:style>
  <w:style w:type="paragraph" w:styleId="Pa8" w:customStyle="1">
    <w:name w:val="Pa8"/>
    <w:basedOn w:val="Normal"/>
    <w:next w:val="Normal"/>
    <w:uiPriority w:val="99"/>
    <w:rsid w:val="00C27CDB"/>
    <w:pPr>
      <w:autoSpaceDE w:val="0"/>
      <w:autoSpaceDN w:val="0"/>
      <w:adjustRightInd w:val="0"/>
      <w:spacing w:after="0" w:line="241" w:lineRule="atLeast"/>
    </w:pPr>
    <w:rPr>
      <w:rFonts w:ascii="Montserrat" w:hAnsi="Montserrat"/>
      <w:kern w:val="0"/>
    </w:rPr>
  </w:style>
  <w:style w:type="paragraph" w:styleId="Pa11" w:customStyle="1">
    <w:name w:val="Pa11"/>
    <w:basedOn w:val="Normal"/>
    <w:next w:val="Normal"/>
    <w:uiPriority w:val="99"/>
    <w:rsid w:val="001A443A"/>
    <w:pPr>
      <w:autoSpaceDE w:val="0"/>
      <w:autoSpaceDN w:val="0"/>
      <w:adjustRightInd w:val="0"/>
      <w:spacing w:after="0" w:line="241" w:lineRule="atLeast"/>
    </w:pPr>
    <w:rPr>
      <w:rFonts w:ascii="Montserrat" w:hAnsi="Montserrat"/>
      <w:kern w:val="0"/>
    </w:rPr>
  </w:style>
  <w:style w:type="paragraph" w:styleId="Default" w:customStyle="1">
    <w:name w:val="Default"/>
    <w:rsid w:val="002B6896"/>
    <w:pPr>
      <w:autoSpaceDE w:val="0"/>
      <w:autoSpaceDN w:val="0"/>
      <w:adjustRightInd w:val="0"/>
      <w:spacing w:after="0" w:line="240" w:lineRule="auto"/>
    </w:pPr>
    <w:rPr>
      <w:rFonts w:ascii="Lato" w:cs="Lato" w:hAnsi="Lato"/>
      <w:color w:val="000000"/>
      <w:kern w:val="0"/>
    </w:rPr>
  </w:style>
  <w:style w:type="character" w:styleId="Mencinsinresolver">
    <w:name w:val="Unresolved Mention"/>
    <w:basedOn w:val="Fuentedeprrafopredeter"/>
    <w:uiPriority w:val="99"/>
    <w:semiHidden w:val="1"/>
    <w:unhideWhenUsed w:val="1"/>
    <w:rsid w:val="00891327"/>
    <w:rPr>
      <w:color w:val="605e5c"/>
      <w:shd w:color="auto" w:fill="e1dfdd" w:val="clear"/>
    </w:rPr>
  </w:style>
  <w:style w:type="character" w:styleId="ng-binding" w:customStyle="1">
    <w:name w:val="ng-binding"/>
    <w:basedOn w:val="Fuentedeprrafopredeter"/>
    <w:rsid w:val="00E5157B"/>
  </w:style>
  <w:style w:type="character" w:styleId="ng-scope" w:customStyle="1">
    <w:name w:val="ng-scope"/>
    <w:basedOn w:val="Fuentedeprrafopredeter"/>
    <w:rsid w:val="00E5157B"/>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ae2d6" w:val="clear"/>
      </w:tcPr>
    </w:tblStylePr>
    <w:tblStylePr w:type="band1Vert">
      <w:tcPr>
        <w:shd w:fill="fae2d6" w:val="clear"/>
      </w:tcPr>
    </w:tblStylePr>
    <w:tblStylePr w:type="firstCol">
      <w:rPr>
        <w:b w:val="1"/>
        <w:bCs w:val="1"/>
      </w:rPr>
    </w:tblStylePr>
    <w:tblStylePr w:type="firstRow">
      <w:rPr>
        <w:b w:val="1"/>
        <w:bCs w:val="1"/>
      </w:rPr>
      <w:tcPr>
        <w:tcBorders>
          <w:top w:color="000000" w:space="0" w:sz="0" w:val="nil"/>
          <w:bottom w:color="f1a984" w:space="0" w:sz="12" w:val="single"/>
          <w:insideH w:color="000000" w:space="0" w:sz="0" w:val="nil"/>
          <w:insideV w:color="000000" w:space="0" w:sz="0" w:val="nil"/>
        </w:tcBorders>
        <w:shd w:fill="ffffff" w:val="clear"/>
      </w:tcPr>
    </w:tblStylePr>
    <w:tblStylePr w:type="lastCol">
      <w:rPr>
        <w:b w:val="1"/>
        <w:bCs w:val="1"/>
      </w:rPr>
    </w:tblStylePr>
    <w:tblStylePr w:type="lastRow">
      <w:rPr>
        <w:b w:val="1"/>
        <w:bCs w:val="1"/>
      </w:rPr>
      <w:tcPr>
        <w:tcBorders>
          <w:top w:color="f1a984"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dnn.go.cr/area-prevencion" TargetMode="External"/><Relationship Id="rId22" Type="http://schemas.openxmlformats.org/officeDocument/2006/relationships/footer" Target="footer1.xml"/><Relationship Id="rId10" Type="http://schemas.openxmlformats.org/officeDocument/2006/relationships/hyperlink" Target="https://doi.org/10.70161/30726948auna2abril34" TargetMode="External"/><Relationship Id="rId21" Type="http://schemas.openxmlformats.org/officeDocument/2006/relationships/footer" Target="footer2.xml"/><Relationship Id="rId13" Type="http://schemas.openxmlformats.org/officeDocument/2006/relationships/hyperlink" Target="https://nexuspj.poder-judicial.go.cr/document/sen-1-0007-717349" TargetMode="External"/><Relationship Id="rId12" Type="http://schemas.openxmlformats.org/officeDocument/2006/relationships/hyperlink" Target="https://biblioteca.gafilat.org/wp-content/uploads/2024/07/Recomendaciones-metodologia-actDIC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nexuspj.poder-judicial.go.cr/document/sen-1-0006-1040663" TargetMode="External"/><Relationship Id="rId14" Type="http://schemas.openxmlformats.org/officeDocument/2006/relationships/hyperlink" Target="https://nexuspj.poder-judicial.go.cr/document/sen-1-0007-998862" TargetMode="External"/><Relationship Id="rId17" Type="http://schemas.openxmlformats.org/officeDocument/2006/relationships/hyperlink" Target="https://www.acta.es/medios/articulos/formacion_y_educacion/076001.pdf" TargetMode="External"/><Relationship Id="rId16" Type="http://schemas.openxmlformats.org/officeDocument/2006/relationships/hyperlink" Target="https://nexuspj.poder-judicial.go.cr/document/sen-1-0034-514969"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yperlink" Target="https://www.redalyc.org/articulo.oa?id=19780215" TargetMode="Externa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tJpTVEbiRtMrLOAGxf8YhjQ9A==">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2025-07-23T02:27:00Z</dcterms:created>
  <dc:creator>Silvia Madrigal Córdoba</dc:creator>
</cp:coreProperties>
</file>