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FEAA9" w14:textId="77777777" w:rsidR="005E42EA" w:rsidRDefault="005E42EA" w:rsidP="005E42EA">
      <w:pPr>
        <w:autoSpaceDE w:val="0"/>
        <w:autoSpaceDN w:val="0"/>
        <w:adjustRightInd w:val="0"/>
        <w:spacing w:after="24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MATERIAL </w:t>
      </w:r>
      <w:r w:rsidRPr="003F7F8C">
        <w:rPr>
          <w:rFonts w:ascii="Times New Roman" w:hAnsi="Times New Roman" w:cs="Times New Roman"/>
          <w:b/>
          <w:bCs/>
          <w:sz w:val="24"/>
          <w:szCs w:val="24"/>
        </w:rPr>
        <w:t>SUPLEMENTARIO</w:t>
      </w:r>
      <w:r>
        <w:rPr>
          <w:rFonts w:ascii="Times New Roman" w:hAnsi="Times New Roman" w:cs="Times New Roman"/>
          <w:b/>
          <w:bCs/>
          <w:sz w:val="24"/>
          <w:szCs w:val="24"/>
        </w:rPr>
        <w:t xml:space="preserve"> 1</w:t>
      </w:r>
    </w:p>
    <w:p w14:paraId="79AA2A0F" w14:textId="77777777" w:rsidR="005E42EA" w:rsidRDefault="005E42EA" w:rsidP="005E42EA">
      <w:pPr>
        <w:spacing w:line="276" w:lineRule="auto"/>
        <w:ind w:firstLine="0"/>
        <w:jc w:val="left"/>
        <w:rPr>
          <w:rFonts w:ascii="Times New Roman" w:hAnsi="Times New Roman" w:cs="Times New Roman"/>
          <w:b/>
          <w:bCs/>
          <w:sz w:val="24"/>
          <w:szCs w:val="24"/>
        </w:rPr>
      </w:pPr>
      <w:r>
        <w:rPr>
          <w:rFonts w:ascii="Times New Roman" w:hAnsi="Times New Roman" w:cs="Times New Roman"/>
          <w:b/>
          <w:bCs/>
          <w:noProof/>
          <w:sz w:val="24"/>
          <w:szCs w:val="24"/>
          <w:lang w:val="es-ES_tradnl" w:eastAsia="es-ES_tradnl"/>
        </w:rPr>
        <w:drawing>
          <wp:inline distT="0" distB="0" distL="0" distR="0" wp14:anchorId="2114631B" wp14:editId="262AC0C7">
            <wp:extent cx="6848884" cy="4659630"/>
            <wp:effectExtent l="2223" t="0" r="11747" b="11748"/>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6848884" cy="4659630"/>
                    </a:xfrm>
                    <a:prstGeom prst="rect">
                      <a:avLst/>
                    </a:prstGeom>
                    <a:noFill/>
                    <a:ln>
                      <a:noFill/>
                    </a:ln>
                  </pic:spPr>
                </pic:pic>
              </a:graphicData>
            </a:graphic>
          </wp:inline>
        </w:drawing>
      </w:r>
      <w:r>
        <w:rPr>
          <w:rFonts w:ascii="Times New Roman" w:hAnsi="Times New Roman" w:cs="Times New Roman"/>
          <w:b/>
          <w:bCs/>
          <w:sz w:val="24"/>
          <w:szCs w:val="24"/>
        </w:rPr>
        <w:br w:type="page"/>
      </w:r>
    </w:p>
    <w:p w14:paraId="101C8B65" w14:textId="77777777" w:rsidR="005E42EA" w:rsidRPr="00A91885" w:rsidRDefault="005E42EA" w:rsidP="005E42EA">
      <w:pPr>
        <w:autoSpaceDE w:val="0"/>
        <w:autoSpaceDN w:val="0"/>
        <w:adjustRightInd w:val="0"/>
        <w:spacing w:after="240" w:line="240"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MATERIAL SUPLEMENTARIO 2</w:t>
      </w:r>
    </w:p>
    <w:p w14:paraId="321C649B" w14:textId="77777777" w:rsidR="005E42EA" w:rsidRDefault="005E42EA" w:rsidP="005E42EA">
      <w:pPr>
        <w:autoSpaceDE w:val="0"/>
        <w:autoSpaceDN w:val="0"/>
        <w:adjustRightInd w:val="0"/>
        <w:spacing w:after="240" w:line="240" w:lineRule="auto"/>
        <w:ind w:firstLine="0"/>
        <w:jc w:val="center"/>
        <w:rPr>
          <w:rFonts w:ascii="Times New Roman" w:hAnsi="Times New Roman" w:cs="Times New Roman"/>
          <w:bCs/>
          <w:sz w:val="24"/>
          <w:szCs w:val="24"/>
        </w:rPr>
      </w:pPr>
      <w:r>
        <w:rPr>
          <w:rFonts w:ascii="Times New Roman" w:hAnsi="Times New Roman" w:cs="Times New Roman"/>
          <w:bCs/>
          <w:noProof/>
          <w:sz w:val="24"/>
          <w:szCs w:val="24"/>
          <w:lang w:val="es-ES_tradnl" w:eastAsia="es-ES_tradnl"/>
        </w:rPr>
        <w:drawing>
          <wp:inline distT="0" distB="0" distL="0" distR="0" wp14:anchorId="51324E16" wp14:editId="11EA79E3">
            <wp:extent cx="3932971" cy="681718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anexo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1862" cy="6832596"/>
                    </a:xfrm>
                    <a:prstGeom prst="rect">
                      <a:avLst/>
                    </a:prstGeom>
                  </pic:spPr>
                </pic:pic>
              </a:graphicData>
            </a:graphic>
          </wp:inline>
        </w:drawing>
      </w:r>
    </w:p>
    <w:p w14:paraId="064C49A8" w14:textId="77777777" w:rsidR="005E42EA" w:rsidRDefault="005E42EA" w:rsidP="005E42EA">
      <w:pPr>
        <w:autoSpaceDE w:val="0"/>
        <w:autoSpaceDN w:val="0"/>
        <w:adjustRightInd w:val="0"/>
        <w:spacing w:after="240"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Figura 1</w:t>
      </w:r>
      <w:r w:rsidRPr="00A91885">
        <w:rPr>
          <w:rFonts w:ascii="Times New Roman" w:hAnsi="Times New Roman" w:cs="Times New Roman"/>
          <w:bCs/>
          <w:sz w:val="24"/>
          <w:szCs w:val="24"/>
        </w:rPr>
        <w:t xml:space="preserve">. Proyección del modelo de distribución potencial de la temporada reproductiva </w:t>
      </w:r>
      <w:r>
        <w:rPr>
          <w:rFonts w:ascii="Times New Roman" w:hAnsi="Times New Roman" w:cs="Times New Roman"/>
          <w:bCs/>
          <w:sz w:val="24"/>
          <w:szCs w:val="24"/>
        </w:rPr>
        <w:t>hacia: A) enero, B) junio, C) julio, D) agosto, E) septiembre, F) octubre, G)  noviembre y H) diciembre.</w:t>
      </w:r>
    </w:p>
    <w:p w14:paraId="37B2601D" w14:textId="77777777" w:rsidR="005E42EA" w:rsidRDefault="005E42EA" w:rsidP="005E42EA">
      <w:pPr>
        <w:spacing w:line="276" w:lineRule="auto"/>
        <w:ind w:firstLine="0"/>
        <w:jc w:val="left"/>
        <w:rPr>
          <w:rFonts w:ascii="Times New Roman" w:hAnsi="Times New Roman" w:cs="Times New Roman"/>
          <w:bCs/>
          <w:sz w:val="24"/>
          <w:szCs w:val="24"/>
        </w:rPr>
      </w:pPr>
      <w:r>
        <w:rPr>
          <w:rFonts w:ascii="Times New Roman" w:hAnsi="Times New Roman" w:cs="Times New Roman"/>
          <w:bCs/>
          <w:sz w:val="24"/>
          <w:szCs w:val="24"/>
        </w:rPr>
        <w:br w:type="page"/>
      </w:r>
    </w:p>
    <w:p w14:paraId="511E0736" w14:textId="77777777" w:rsidR="005E42EA" w:rsidRDefault="005E42EA" w:rsidP="005E42EA">
      <w:pPr>
        <w:autoSpaceDE w:val="0"/>
        <w:autoSpaceDN w:val="0"/>
        <w:adjustRightInd w:val="0"/>
        <w:spacing w:after="240" w:line="240" w:lineRule="auto"/>
        <w:ind w:firstLine="0"/>
        <w:jc w:val="left"/>
        <w:rPr>
          <w:rFonts w:ascii="Times New Roman" w:hAnsi="Times New Roman" w:cs="Times New Roman"/>
          <w:bCs/>
          <w:sz w:val="24"/>
          <w:szCs w:val="24"/>
        </w:rPr>
      </w:pPr>
      <w:r>
        <w:rPr>
          <w:rFonts w:ascii="Times New Roman" w:hAnsi="Times New Roman" w:cs="Times New Roman"/>
          <w:bCs/>
          <w:noProof/>
          <w:sz w:val="24"/>
          <w:szCs w:val="24"/>
          <w:lang w:val="es-ES_tradnl" w:eastAsia="es-ES_tradnl"/>
        </w:rPr>
        <w:drawing>
          <wp:inline distT="0" distB="0" distL="0" distR="0" wp14:anchorId="6B52AF69" wp14:editId="5E2046F4">
            <wp:extent cx="3709035" cy="642465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 anex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3539" cy="6432453"/>
                    </a:xfrm>
                    <a:prstGeom prst="rect">
                      <a:avLst/>
                    </a:prstGeom>
                  </pic:spPr>
                </pic:pic>
              </a:graphicData>
            </a:graphic>
          </wp:inline>
        </w:drawing>
      </w:r>
    </w:p>
    <w:p w14:paraId="080771D2" w14:textId="77777777" w:rsidR="005E42EA" w:rsidRPr="00B97FFB" w:rsidRDefault="005E42EA" w:rsidP="005E42EA">
      <w:pPr>
        <w:autoSpaceDE w:val="0"/>
        <w:autoSpaceDN w:val="0"/>
        <w:adjustRightInd w:val="0"/>
        <w:spacing w:after="240" w:line="240" w:lineRule="auto"/>
        <w:ind w:firstLine="0"/>
        <w:jc w:val="left"/>
        <w:rPr>
          <w:rFonts w:ascii="Times New Roman" w:hAnsi="Times New Roman" w:cs="Times New Roman"/>
          <w:bCs/>
          <w:sz w:val="24"/>
          <w:szCs w:val="24"/>
        </w:rPr>
      </w:pPr>
      <w:r>
        <w:rPr>
          <w:rFonts w:ascii="Times New Roman" w:hAnsi="Times New Roman" w:cs="Times New Roman"/>
          <w:bCs/>
          <w:sz w:val="24"/>
          <w:szCs w:val="24"/>
        </w:rPr>
        <w:t>Figura 2</w:t>
      </w:r>
      <w:r w:rsidRPr="00A91885">
        <w:rPr>
          <w:rFonts w:ascii="Times New Roman" w:hAnsi="Times New Roman" w:cs="Times New Roman"/>
          <w:bCs/>
          <w:sz w:val="24"/>
          <w:szCs w:val="24"/>
        </w:rPr>
        <w:t xml:space="preserve">. Proyección del modelo de distribución potencial de la temporada </w:t>
      </w:r>
      <w:r>
        <w:rPr>
          <w:rFonts w:ascii="Times New Roman" w:hAnsi="Times New Roman" w:cs="Times New Roman"/>
          <w:bCs/>
          <w:sz w:val="24"/>
          <w:szCs w:val="24"/>
        </w:rPr>
        <w:t>no reproductivahacia: A) enero, B) febrero, C) marzo, D) abril, E) mayo, F) noviembre, G) diciembre.</w:t>
      </w:r>
    </w:p>
    <w:p w14:paraId="20A6388B" w14:textId="6A58C1A9" w:rsidR="002C2257" w:rsidRDefault="002C2257"/>
    <w:p w14:paraId="6A0A6F52" w14:textId="77777777" w:rsidR="002C2257" w:rsidRDefault="002C2257">
      <w:pPr>
        <w:spacing w:after="0" w:line="240" w:lineRule="auto"/>
        <w:ind w:firstLine="0"/>
        <w:jc w:val="left"/>
      </w:pPr>
      <w:r>
        <w:br w:type="page"/>
      </w:r>
    </w:p>
    <w:p w14:paraId="292FFF12" w14:textId="77777777" w:rsidR="002C2257" w:rsidRPr="006550DC" w:rsidRDefault="002C2257" w:rsidP="002C2257">
      <w:pPr>
        <w:ind w:firstLine="0"/>
        <w:jc w:val="center"/>
        <w:rPr>
          <w:rFonts w:ascii="Times New Roman" w:hAnsi="Times New Roman" w:cs="Times New Roman"/>
          <w:b/>
          <w:sz w:val="24"/>
        </w:rPr>
      </w:pPr>
      <w:bookmarkStart w:id="0" w:name="_Toc422493121"/>
      <w:r w:rsidRPr="006550DC">
        <w:rPr>
          <w:rFonts w:ascii="Times New Roman" w:hAnsi="Times New Roman" w:cs="Times New Roman"/>
          <w:b/>
          <w:sz w:val="24"/>
        </w:rPr>
        <w:t>Variación temporal en la distribución geográfica y ecológica del loro corona lila</w:t>
      </w:r>
      <w:r>
        <w:rPr>
          <w:rFonts w:ascii="Times New Roman" w:hAnsi="Times New Roman" w:cs="Times New Roman"/>
          <w:b/>
          <w:sz w:val="24"/>
        </w:rPr>
        <w:t xml:space="preserve"> </w:t>
      </w:r>
      <w:r w:rsidRPr="002E35F9">
        <w:rPr>
          <w:rFonts w:ascii="Times New Roman" w:hAnsi="Times New Roman" w:cs="Times New Roman"/>
          <w:i/>
          <w:sz w:val="24"/>
        </w:rPr>
        <w:t>Amazona</w:t>
      </w:r>
      <w:r>
        <w:rPr>
          <w:rFonts w:ascii="Times New Roman" w:hAnsi="Times New Roman" w:cs="Times New Roman"/>
          <w:i/>
          <w:sz w:val="24"/>
        </w:rPr>
        <w:t xml:space="preserve"> </w:t>
      </w:r>
      <w:r w:rsidRPr="002E35F9">
        <w:rPr>
          <w:rFonts w:ascii="Times New Roman" w:hAnsi="Times New Roman" w:cs="Times New Roman"/>
          <w:i/>
          <w:sz w:val="24"/>
        </w:rPr>
        <w:t>finschi</w:t>
      </w:r>
      <w:r>
        <w:rPr>
          <w:rFonts w:ascii="Times New Roman" w:hAnsi="Times New Roman" w:cs="Times New Roman"/>
          <w:b/>
          <w:sz w:val="24"/>
        </w:rPr>
        <w:t>, (Psittaciformes:</w:t>
      </w:r>
      <w:r w:rsidRPr="006550DC">
        <w:rPr>
          <w:rFonts w:ascii="Times New Roman" w:hAnsi="Times New Roman" w:cs="Times New Roman"/>
          <w:b/>
          <w:sz w:val="24"/>
        </w:rPr>
        <w:t>Psittacidae)</w:t>
      </w:r>
    </w:p>
    <w:p w14:paraId="3159317A" w14:textId="77777777" w:rsidR="002C2257" w:rsidRPr="006550DC" w:rsidRDefault="002C2257" w:rsidP="002C2257">
      <w:pPr>
        <w:ind w:firstLine="0"/>
        <w:rPr>
          <w:rFonts w:ascii="Times New Roman" w:hAnsi="Times New Roman" w:cs="Times New Roman"/>
          <w:sz w:val="24"/>
          <w:szCs w:val="24"/>
        </w:rPr>
      </w:pPr>
      <w:r w:rsidRPr="006550DC">
        <w:rPr>
          <w:rFonts w:ascii="Times New Roman" w:hAnsi="Times New Roman" w:cs="Times New Roman"/>
          <w:sz w:val="24"/>
          <w:szCs w:val="24"/>
        </w:rPr>
        <w:t>Alejandro Sánchez-Barradas</w:t>
      </w:r>
      <w:r w:rsidRPr="006550DC">
        <w:rPr>
          <w:rFonts w:ascii="Times New Roman" w:hAnsi="Times New Roman" w:cs="Times New Roman"/>
          <w:sz w:val="24"/>
          <w:szCs w:val="24"/>
          <w:vertAlign w:val="superscript"/>
        </w:rPr>
        <w:t>1</w:t>
      </w:r>
      <w:r w:rsidRPr="006550DC">
        <w:rPr>
          <w:rFonts w:ascii="Times New Roman" w:hAnsi="Times New Roman" w:cs="Times New Roman"/>
          <w:sz w:val="24"/>
          <w:szCs w:val="24"/>
        </w:rPr>
        <w:t xml:space="preserve">, Quiyari </w:t>
      </w:r>
      <w:r>
        <w:rPr>
          <w:rFonts w:ascii="Times New Roman" w:hAnsi="Times New Roman" w:cs="Times New Roman"/>
          <w:sz w:val="24"/>
          <w:szCs w:val="24"/>
        </w:rPr>
        <w:t xml:space="preserve">J. </w:t>
      </w:r>
      <w:r w:rsidRPr="006550DC">
        <w:rPr>
          <w:rFonts w:ascii="Times New Roman" w:hAnsi="Times New Roman" w:cs="Times New Roman"/>
          <w:sz w:val="24"/>
          <w:szCs w:val="24"/>
        </w:rPr>
        <w:t>Santiago-Jiménez</w:t>
      </w:r>
      <w:r w:rsidRPr="006550DC">
        <w:rPr>
          <w:rFonts w:ascii="Times New Roman" w:hAnsi="Times New Roman" w:cs="Times New Roman"/>
          <w:sz w:val="24"/>
          <w:szCs w:val="24"/>
          <w:vertAlign w:val="superscript"/>
        </w:rPr>
        <w:t>2</w:t>
      </w:r>
      <w:r w:rsidRPr="006550DC">
        <w:rPr>
          <w:rFonts w:ascii="Times New Roman" w:hAnsi="Times New Roman" w:cs="Times New Roman"/>
          <w:sz w:val="24"/>
          <w:szCs w:val="24"/>
        </w:rPr>
        <w:t xml:space="preserve"> y Octavio Rojas-Soto</w:t>
      </w:r>
      <w:r w:rsidRPr="006550DC">
        <w:rPr>
          <w:rFonts w:ascii="Times New Roman" w:hAnsi="Times New Roman" w:cs="Times New Roman"/>
          <w:sz w:val="24"/>
          <w:szCs w:val="24"/>
          <w:vertAlign w:val="superscript"/>
        </w:rPr>
        <w:t>3*</w:t>
      </w:r>
    </w:p>
    <w:p w14:paraId="45CBEA4A" w14:textId="77777777" w:rsidR="002C2257" w:rsidRPr="006550DC" w:rsidRDefault="002C2257" w:rsidP="002C2257">
      <w:pPr>
        <w:pStyle w:val="Sinespaciado"/>
        <w:ind w:firstLine="0"/>
        <w:jc w:val="left"/>
        <w:rPr>
          <w:rFonts w:ascii="Times New Roman" w:hAnsi="Times New Roman" w:cs="Times New Roman"/>
          <w:i/>
          <w:sz w:val="20"/>
          <w:szCs w:val="20"/>
        </w:rPr>
      </w:pPr>
      <w:r w:rsidRPr="006550DC">
        <w:rPr>
          <w:rFonts w:ascii="Times New Roman" w:hAnsi="Times New Roman" w:cs="Times New Roman"/>
          <w:i/>
          <w:sz w:val="20"/>
          <w:szCs w:val="20"/>
          <w:vertAlign w:val="superscript"/>
        </w:rPr>
        <w:t>1,2</w:t>
      </w:r>
      <w:r w:rsidRPr="006550DC">
        <w:rPr>
          <w:rFonts w:ascii="Times New Roman" w:hAnsi="Times New Roman" w:cs="Times New Roman"/>
          <w:i/>
          <w:sz w:val="20"/>
          <w:szCs w:val="20"/>
        </w:rPr>
        <w:t>Museo de Zoología, Facultad de Biología-Xalapa, Universidad Veracruzana, Zona Universitaria, Circuito Gonzalo Aguirre Beltrán S/N, Xalapa, Veracruz, C.P. 91090, MÉXICO.</w:t>
      </w:r>
      <w:r>
        <w:rPr>
          <w:rFonts w:ascii="Times New Roman" w:hAnsi="Times New Roman" w:cs="Times New Roman"/>
          <w:i/>
          <w:sz w:val="20"/>
          <w:szCs w:val="20"/>
        </w:rPr>
        <w:t xml:space="preserve">alex-sb@hotmail.com, </w:t>
      </w:r>
      <w:r w:rsidRPr="009E7C6E">
        <w:rPr>
          <w:rFonts w:ascii="Times New Roman" w:hAnsi="Times New Roman" w:cs="Times New Roman"/>
          <w:i/>
          <w:sz w:val="20"/>
          <w:szCs w:val="20"/>
        </w:rPr>
        <w:t>qsantiago@uv.mx</w:t>
      </w:r>
    </w:p>
    <w:p w14:paraId="3AE7F1F9" w14:textId="77777777" w:rsidR="002C2257" w:rsidRPr="006550DC" w:rsidRDefault="002C2257" w:rsidP="002C2257">
      <w:pPr>
        <w:pStyle w:val="Sinespaciado"/>
        <w:ind w:firstLine="0"/>
        <w:jc w:val="left"/>
        <w:rPr>
          <w:rFonts w:ascii="Times New Roman" w:hAnsi="Times New Roman" w:cs="Times New Roman"/>
          <w:i/>
          <w:sz w:val="20"/>
          <w:szCs w:val="20"/>
        </w:rPr>
      </w:pPr>
    </w:p>
    <w:p w14:paraId="6F3AB62B" w14:textId="77777777" w:rsidR="002C2257" w:rsidRPr="006550DC" w:rsidRDefault="002C2257" w:rsidP="002C2257">
      <w:pPr>
        <w:pStyle w:val="Sinespaciado"/>
        <w:ind w:firstLine="0"/>
        <w:rPr>
          <w:rFonts w:ascii="Times New Roman" w:hAnsi="Times New Roman" w:cs="Times New Roman"/>
          <w:i/>
          <w:sz w:val="20"/>
          <w:szCs w:val="20"/>
        </w:rPr>
      </w:pPr>
      <w:r w:rsidRPr="006550DC">
        <w:rPr>
          <w:rFonts w:ascii="Times New Roman" w:hAnsi="Times New Roman" w:cs="Times New Roman"/>
          <w:i/>
          <w:sz w:val="20"/>
          <w:szCs w:val="20"/>
          <w:vertAlign w:val="superscript"/>
        </w:rPr>
        <w:t>3</w:t>
      </w:r>
      <w:r w:rsidRPr="006550DC">
        <w:rPr>
          <w:rFonts w:ascii="Times New Roman" w:hAnsi="Times New Roman" w:cs="Times New Roman"/>
          <w:i/>
          <w:sz w:val="20"/>
          <w:szCs w:val="20"/>
        </w:rPr>
        <w:t>Red de Biología Evolutiva, Laboratorio de Biogeografía, Instituto de Ecología A. C. km 2.5 Antigua Carretera a Coatepec no. 351, Xalapa 91070, Veracruz, México.</w:t>
      </w:r>
    </w:p>
    <w:p w14:paraId="3A6B9239" w14:textId="77777777" w:rsidR="002C2257" w:rsidRPr="006550DC" w:rsidRDefault="002C2257" w:rsidP="002C2257">
      <w:pPr>
        <w:pStyle w:val="Sinespaciado"/>
        <w:rPr>
          <w:rFonts w:ascii="Times New Roman" w:hAnsi="Times New Roman" w:cs="Times New Roman"/>
        </w:rPr>
      </w:pPr>
    </w:p>
    <w:p w14:paraId="4BD55F43" w14:textId="77777777" w:rsidR="002C2257" w:rsidRPr="006550DC" w:rsidRDefault="002C2257" w:rsidP="002C2257">
      <w:pPr>
        <w:spacing w:line="240" w:lineRule="auto"/>
        <w:ind w:firstLine="0"/>
        <w:rPr>
          <w:rFonts w:ascii="Times New Roman" w:hAnsi="Times New Roman" w:cs="Times New Roman"/>
          <w:i/>
          <w:sz w:val="20"/>
          <w:szCs w:val="20"/>
        </w:rPr>
      </w:pPr>
      <w:r w:rsidRPr="006550DC">
        <w:rPr>
          <w:rFonts w:ascii="Times New Roman" w:hAnsi="Times New Roman" w:cs="Times New Roman"/>
          <w:i/>
          <w:sz w:val="20"/>
          <w:szCs w:val="20"/>
        </w:rPr>
        <w:t>*Autor de correspondencia.- octavio.rojas@inecol.mx</w:t>
      </w:r>
    </w:p>
    <w:p w14:paraId="53B45CEA" w14:textId="77777777" w:rsidR="002C2257" w:rsidRPr="006550DC" w:rsidRDefault="002C2257" w:rsidP="002C2257">
      <w:pPr>
        <w:pStyle w:val="NormalWeb"/>
        <w:spacing w:line="360" w:lineRule="auto"/>
        <w:rPr>
          <w:lang w:val="en-US"/>
        </w:rPr>
      </w:pPr>
      <w:r w:rsidRPr="006550DC">
        <w:rPr>
          <w:lang w:val="en-US"/>
        </w:rPr>
        <w:t>ABSTRACT</w:t>
      </w:r>
      <w:r>
        <w:rPr>
          <w:lang w:val="en-US"/>
        </w:rPr>
        <w:t xml:space="preserve">: </w:t>
      </w:r>
      <w:r>
        <w:rPr>
          <w:lang w:val="en-US"/>
        </w:rPr>
        <w:br/>
      </w:r>
      <w:r w:rsidRPr="002E35F9">
        <w:rPr>
          <w:b/>
          <w:lang w:val="en-US"/>
        </w:rPr>
        <w:t xml:space="preserve">Temporal variation in ecological and geographical distribution of the lilac-crowned parrot </w:t>
      </w:r>
      <w:r w:rsidRPr="002E35F9">
        <w:rPr>
          <w:i/>
          <w:lang w:val="en-US"/>
        </w:rPr>
        <w:t>Amazona finschi</w:t>
      </w:r>
      <w:r w:rsidRPr="0096410A">
        <w:rPr>
          <w:lang w:val="en-US"/>
        </w:rPr>
        <w:t>, (Psittaciformes: Psittacidae).</w:t>
      </w:r>
      <w:r>
        <w:rPr>
          <w:lang w:val="en-US"/>
        </w:rPr>
        <w:t xml:space="preserve"> </w:t>
      </w:r>
      <w:r w:rsidRPr="002E35F9">
        <w:rPr>
          <w:lang w:val="en-US"/>
        </w:rPr>
        <w:t>The</w:t>
      </w:r>
      <w:r w:rsidRPr="006550DC">
        <w:rPr>
          <w:lang w:val="en-US"/>
        </w:rPr>
        <w:t xml:space="preserve"> lilac-crowned parrot (</w:t>
      </w:r>
      <w:r w:rsidRPr="006550DC">
        <w:rPr>
          <w:i/>
          <w:lang w:val="en-US"/>
        </w:rPr>
        <w:t>Amazona finschi</w:t>
      </w:r>
      <w:r w:rsidRPr="006550DC">
        <w:rPr>
          <w:lang w:val="en-US"/>
        </w:rPr>
        <w:t xml:space="preserve">) is an endemic species restricted to the lowlands of the Mexican Pacific coast and </w:t>
      </w:r>
      <w:r>
        <w:rPr>
          <w:lang w:val="en-US"/>
        </w:rPr>
        <w:t xml:space="preserve">currently </w:t>
      </w:r>
      <w:r w:rsidRPr="006550DC">
        <w:rPr>
          <w:lang w:val="en-US"/>
        </w:rPr>
        <w:t xml:space="preserve">considered as endangered. </w:t>
      </w:r>
      <w:r w:rsidRPr="00C02674">
        <w:rPr>
          <w:lang w:val="en-US"/>
        </w:rPr>
        <w:t xml:space="preserve">However, </w:t>
      </w:r>
      <w:r>
        <w:rPr>
          <w:lang w:val="en-US"/>
        </w:rPr>
        <w:t xml:space="preserve">it </w:t>
      </w:r>
      <w:r w:rsidRPr="00C02674">
        <w:rPr>
          <w:lang w:val="en-US"/>
        </w:rPr>
        <w:t>has been documented that the species shows altitudinal and seasonal migrations along its distributional range, suggesting therefore that its ecological and temporal distribution is still uncertain</w:t>
      </w:r>
      <w:r w:rsidRPr="006550DC">
        <w:rPr>
          <w:lang w:val="en-US"/>
        </w:rPr>
        <w:t>. We modeled the potential distribution of the lilac-crowned parrot considering the two main activity seasons for the species: reproductive and non-reproductive. Thus, we combined 314 historical occurrences with five environmental layers: three climatic and two topographic for each period. A marked seasonality in the distribution of the lilac-crowned parrot was observed. Ecol</w:t>
      </w:r>
      <w:r>
        <w:rPr>
          <w:lang w:val="en-US"/>
        </w:rPr>
        <w:t>ogically the</w:t>
      </w:r>
      <w:r w:rsidRPr="006550DC">
        <w:rPr>
          <w:lang w:val="en-US"/>
        </w:rPr>
        <w:t xml:space="preserve"> species displays a greater amplitude during the breeding seasons in terms of minimum temperature, but a noticeable reduction as far as precipitation is concerned. The distribution of food and nesting resources largely corresponds to the distribution of the lilac-crowned parrot. There is a wide area in the center of the geographical distribution in which the species finds conditions that meet both periods of activity, as well as transition conditions between these periods. </w:t>
      </w:r>
      <w:r w:rsidRPr="00C02674">
        <w:rPr>
          <w:lang w:val="en-US"/>
        </w:rPr>
        <w:t xml:space="preserve">Finally, </w:t>
      </w:r>
      <w:r w:rsidRPr="00C65FD3">
        <w:rPr>
          <w:rStyle w:val="hps"/>
          <w:lang w:val="en-US"/>
        </w:rPr>
        <w:t>in addition to the</w:t>
      </w:r>
      <w:r>
        <w:rPr>
          <w:rStyle w:val="hps"/>
          <w:lang w:val="en-US"/>
        </w:rPr>
        <w:t xml:space="preserve"> </w:t>
      </w:r>
      <w:r w:rsidRPr="00C65FD3">
        <w:rPr>
          <w:rStyle w:val="hps"/>
          <w:lang w:val="en-US"/>
        </w:rPr>
        <w:t>knowledge</w:t>
      </w:r>
      <w:r>
        <w:rPr>
          <w:rStyle w:val="hps"/>
          <w:lang w:val="en-US"/>
        </w:rPr>
        <w:t xml:space="preserve"> </w:t>
      </w:r>
      <w:r w:rsidRPr="00C65FD3">
        <w:rPr>
          <w:rStyle w:val="hps"/>
          <w:lang w:val="en-US"/>
        </w:rPr>
        <w:t>implications</w:t>
      </w:r>
      <w:r>
        <w:rPr>
          <w:rStyle w:val="hps"/>
          <w:lang w:val="en-US"/>
        </w:rPr>
        <w:t xml:space="preserve"> </w:t>
      </w:r>
      <w:r w:rsidRPr="00C65FD3">
        <w:rPr>
          <w:rStyle w:val="hps"/>
          <w:lang w:val="en-US"/>
        </w:rPr>
        <w:t>for the conservation of</w:t>
      </w:r>
      <w:r>
        <w:rPr>
          <w:rStyle w:val="hps"/>
          <w:lang w:val="en-US"/>
        </w:rPr>
        <w:t xml:space="preserve"> </w:t>
      </w:r>
      <w:r w:rsidRPr="00C65FD3">
        <w:rPr>
          <w:rStyle w:val="hps"/>
          <w:lang w:val="en-US"/>
        </w:rPr>
        <w:t xml:space="preserve">this species; </w:t>
      </w:r>
      <w:r w:rsidRPr="00C02674">
        <w:rPr>
          <w:lang w:val="en-US"/>
        </w:rPr>
        <w:t>our results about the seasonal variation in the geographical and ecological distribution of this species, possess a strong ecological meaning in the understanding of other species distribution, particularly those associated with highly seasonal environments</w:t>
      </w:r>
      <w:r w:rsidRPr="006550DC">
        <w:rPr>
          <w:lang w:val="en-US"/>
        </w:rPr>
        <w:t xml:space="preserve">. </w:t>
      </w:r>
    </w:p>
    <w:p w14:paraId="495D531A" w14:textId="77777777" w:rsidR="002C2257" w:rsidRPr="006550DC" w:rsidRDefault="002C2257" w:rsidP="002C2257">
      <w:pPr>
        <w:pStyle w:val="NormalWeb"/>
        <w:spacing w:line="360" w:lineRule="auto"/>
        <w:rPr>
          <w:lang w:val="en-US"/>
        </w:rPr>
      </w:pPr>
      <w:r w:rsidRPr="006550DC">
        <w:rPr>
          <w:b/>
          <w:lang w:val="en-US"/>
        </w:rPr>
        <w:t>Keywords</w:t>
      </w:r>
      <w:r w:rsidRPr="006550DC">
        <w:rPr>
          <w:lang w:val="en-US"/>
        </w:rPr>
        <w:t xml:space="preserve">: seasonal distribution, breeding season, seasonality, lilac-crowned parrot, modeling, ecological niche, endangered. </w:t>
      </w:r>
    </w:p>
    <w:p w14:paraId="1C49DAF9" w14:textId="77777777" w:rsidR="002C2257" w:rsidRPr="00AC34EF" w:rsidRDefault="002C2257" w:rsidP="002C2257">
      <w:pPr>
        <w:spacing w:line="276" w:lineRule="auto"/>
        <w:ind w:firstLine="0"/>
        <w:jc w:val="left"/>
        <w:rPr>
          <w:rFonts w:ascii="Times New Roman" w:hAnsi="Times New Roman" w:cs="Times New Roman"/>
          <w:b/>
          <w:color w:val="000000"/>
          <w:sz w:val="24"/>
          <w:szCs w:val="24"/>
          <w:shd w:val="clear" w:color="auto" w:fill="FFFFFF"/>
        </w:rPr>
      </w:pPr>
      <w:r w:rsidRPr="006550DC">
        <w:rPr>
          <w:rFonts w:ascii="Times New Roman" w:hAnsi="Times New Roman" w:cs="Times New Roman"/>
          <w:b/>
          <w:color w:val="000000"/>
          <w:sz w:val="24"/>
          <w:szCs w:val="24"/>
          <w:shd w:val="clear" w:color="auto" w:fill="FFFFFF"/>
        </w:rPr>
        <w:t xml:space="preserve">Total words: </w:t>
      </w:r>
      <w:r>
        <w:rPr>
          <w:rFonts w:ascii="Times New Roman" w:hAnsi="Times New Roman" w:cs="Times New Roman"/>
          <w:b/>
          <w:color w:val="000000"/>
          <w:sz w:val="24"/>
          <w:szCs w:val="24"/>
          <w:shd w:val="clear" w:color="auto" w:fill="FFFFFF"/>
        </w:rPr>
        <w:t>5843</w:t>
      </w:r>
    </w:p>
    <w:bookmarkEnd w:id="0"/>
    <w:p w14:paraId="586243B8" w14:textId="77777777" w:rsidR="002C2257" w:rsidRPr="006550DC" w:rsidRDefault="002C2257" w:rsidP="002C2257">
      <w:pPr>
        <w:ind w:firstLine="0"/>
        <w:jc w:val="center"/>
        <w:rPr>
          <w:rFonts w:ascii="Times New Roman" w:hAnsi="Times New Roman" w:cs="Times New Roman"/>
          <w:sz w:val="24"/>
          <w:szCs w:val="24"/>
        </w:rPr>
      </w:pPr>
      <w:r w:rsidRPr="006550DC">
        <w:rPr>
          <w:rFonts w:ascii="Times New Roman" w:hAnsi="Times New Roman" w:cs="Times New Roman"/>
          <w:sz w:val="24"/>
          <w:szCs w:val="24"/>
        </w:rPr>
        <w:t>INTRODUCCIÓN</w:t>
      </w:r>
    </w:p>
    <w:p w14:paraId="4CCCCBB3" w14:textId="77777777" w:rsidR="002C2257" w:rsidRPr="001A47BB" w:rsidRDefault="002C2257" w:rsidP="002C2257">
      <w:pPr>
        <w:pStyle w:val="Sinespaciado"/>
        <w:spacing w:line="360" w:lineRule="auto"/>
        <w:ind w:firstLine="0"/>
        <w:rPr>
          <w:rFonts w:ascii="Times New Roman" w:hAnsi="Times New Roman" w:cs="Times New Roman"/>
          <w:sz w:val="24"/>
          <w:szCs w:val="24"/>
        </w:rPr>
      </w:pPr>
      <w:r w:rsidRPr="001A47BB">
        <w:rPr>
          <w:rFonts w:ascii="Times New Roman" w:hAnsi="Times New Roman" w:cs="Times New Roman"/>
          <w:sz w:val="24"/>
          <w:szCs w:val="24"/>
        </w:rPr>
        <w:t xml:space="preserve">La variación climática estacional es un fenómeno importante, particularmente en ambientes subtropicales, ya que éstos son marcadamente estacionales; estacionalidad asociada mayormente a la variación de los períodos de lluvias más que con las variaciones de la temperatura (Sarmiento 1972, Loiselle y Blake 1994). Estas fluctuaciones afectan tanto a la estructura del hábitat como a la disponibilidad de los recursos, como el alimento y el agua (Malizia 2001, Codesido y Bilenca 2004); lo cual genera a su vez respuestas en los usos de hábitats por parte de las especies de aves asociadas (Wiens 1989, Loiselle y Blake 1994, Codesido y Bilenca 2004). </w:t>
      </w:r>
    </w:p>
    <w:p w14:paraId="67AF7468" w14:textId="77777777" w:rsidR="002C2257" w:rsidRDefault="002C2257" w:rsidP="002C2257">
      <w:pPr>
        <w:pStyle w:val="Sinespaciado"/>
        <w:spacing w:line="360" w:lineRule="auto"/>
        <w:rPr>
          <w:rFonts w:ascii="Times New Roman" w:hAnsi="Times New Roman" w:cs="Times New Roman"/>
          <w:sz w:val="24"/>
          <w:szCs w:val="24"/>
        </w:rPr>
      </w:pPr>
      <w:r w:rsidRPr="001A47BB">
        <w:rPr>
          <w:rFonts w:ascii="Times New Roman" w:hAnsi="Times New Roman" w:cs="Times New Roman"/>
          <w:sz w:val="24"/>
          <w:szCs w:val="24"/>
        </w:rPr>
        <w:t xml:space="preserve">Las variaciones estacionales generan a su vez variaciones en distintos aspectos biológicos en aves, por ejemplo, en la composición de las comunidades (e.g. Anderson 1973, </w:t>
      </w:r>
      <w:r w:rsidRPr="001A47BB">
        <w:rPr>
          <w:rStyle w:val="author"/>
          <w:rFonts w:ascii="Times New Roman" w:hAnsi="Times New Roman" w:cs="Times New Roman"/>
          <w:sz w:val="24"/>
          <w:szCs w:val="24"/>
        </w:rPr>
        <w:t xml:space="preserve">Rabenold y Rabenold </w:t>
      </w:r>
      <w:r w:rsidRPr="001A47BB">
        <w:rPr>
          <w:rStyle w:val="pubyear"/>
          <w:rFonts w:ascii="Times New Roman" w:hAnsi="Times New Roman" w:cs="Times New Roman"/>
          <w:sz w:val="24"/>
          <w:szCs w:val="24"/>
        </w:rPr>
        <w:t xml:space="preserve">1985, </w:t>
      </w:r>
      <w:r w:rsidRPr="001A47BB">
        <w:rPr>
          <w:rFonts w:ascii="Times New Roman" w:hAnsi="Times New Roman" w:cs="Times New Roman"/>
          <w:sz w:val="24"/>
          <w:szCs w:val="24"/>
        </w:rPr>
        <w:t>Caula et al. 2008), en sus patrones de vocalización (e.g. Leitner et al. 2001, Madison et al. 2012), en su fisiología (Liknes y Swanson 2011)</w:t>
      </w:r>
      <w:r>
        <w:rPr>
          <w:rFonts w:ascii="Times New Roman" w:hAnsi="Times New Roman" w:cs="Times New Roman"/>
          <w:sz w:val="24"/>
          <w:szCs w:val="24"/>
        </w:rPr>
        <w:t>,</w:t>
      </w:r>
      <w:r w:rsidRPr="001A47BB">
        <w:rPr>
          <w:rFonts w:ascii="Times New Roman" w:hAnsi="Times New Roman" w:cs="Times New Roman"/>
          <w:sz w:val="24"/>
          <w:szCs w:val="24"/>
        </w:rPr>
        <w:t xml:space="preserve"> y específicamente en los patrones de distribución de las especies (e.g. Stiles 1978, Hilty </w:t>
      </w:r>
      <w:r w:rsidRPr="001A47BB">
        <w:rPr>
          <w:rStyle w:val="nlmyear"/>
          <w:rFonts w:ascii="Times New Roman" w:hAnsi="Times New Roman" w:cs="Times New Roman"/>
          <w:sz w:val="24"/>
          <w:szCs w:val="24"/>
        </w:rPr>
        <w:t>1997).</w:t>
      </w:r>
      <w:r>
        <w:rPr>
          <w:rStyle w:val="nlmyear"/>
          <w:rFonts w:ascii="Times New Roman" w:hAnsi="Times New Roman" w:cs="Times New Roman"/>
          <w:sz w:val="24"/>
          <w:szCs w:val="24"/>
        </w:rPr>
        <w:t xml:space="preserve"> Dentro de éstos últimos, es importante analizar</w:t>
      </w:r>
      <w:r w:rsidRPr="001A47BB">
        <w:rPr>
          <w:rFonts w:ascii="Times New Roman" w:hAnsi="Times New Roman" w:cs="Times New Roman"/>
          <w:sz w:val="24"/>
          <w:szCs w:val="24"/>
        </w:rPr>
        <w:t xml:space="preserve"> la manera en que las poblaciones residentes se ajustan a fluctuaciones de la disponibilidad de recursos alimenticios ante las variaciones ambientales (Karr </w:t>
      </w:r>
      <w:r w:rsidRPr="001A47BB">
        <w:rPr>
          <w:rStyle w:val="nlmyear"/>
          <w:rFonts w:ascii="Times New Roman" w:hAnsi="Times New Roman" w:cs="Times New Roman"/>
          <w:sz w:val="24"/>
          <w:szCs w:val="24"/>
        </w:rPr>
        <w:t xml:space="preserve">1976, </w:t>
      </w:r>
      <w:r w:rsidRPr="001A47BB">
        <w:rPr>
          <w:rFonts w:ascii="Times New Roman" w:hAnsi="Times New Roman" w:cs="Times New Roman"/>
          <w:sz w:val="24"/>
          <w:szCs w:val="24"/>
        </w:rPr>
        <w:t xml:space="preserve">Herrera 1978, </w:t>
      </w:r>
      <w:r w:rsidRPr="001A47BB">
        <w:rPr>
          <w:rStyle w:val="author"/>
          <w:rFonts w:ascii="Times New Roman" w:hAnsi="Times New Roman" w:cs="Times New Roman"/>
          <w:sz w:val="24"/>
          <w:szCs w:val="24"/>
        </w:rPr>
        <w:t xml:space="preserve">Rabenold y Rabenold </w:t>
      </w:r>
      <w:r w:rsidRPr="001A47BB">
        <w:rPr>
          <w:rStyle w:val="pubyear"/>
          <w:rFonts w:ascii="Times New Roman" w:hAnsi="Times New Roman" w:cs="Times New Roman"/>
          <w:sz w:val="24"/>
          <w:szCs w:val="24"/>
        </w:rPr>
        <w:t xml:space="preserve">1985, </w:t>
      </w:r>
      <w:r w:rsidRPr="001A47BB">
        <w:rPr>
          <w:rFonts w:ascii="Times New Roman" w:hAnsi="Times New Roman" w:cs="Times New Roman"/>
          <w:sz w:val="24"/>
          <w:szCs w:val="24"/>
        </w:rPr>
        <w:t xml:space="preserve">Loiselle y Blake </w:t>
      </w:r>
      <w:r w:rsidRPr="001A47BB">
        <w:rPr>
          <w:rStyle w:val="nlmyear"/>
          <w:rFonts w:ascii="Times New Roman" w:hAnsi="Times New Roman" w:cs="Times New Roman"/>
          <w:sz w:val="24"/>
          <w:szCs w:val="24"/>
        </w:rPr>
        <w:t>1991</w:t>
      </w:r>
      <w:r w:rsidRPr="001A47BB">
        <w:rPr>
          <w:rFonts w:ascii="Times New Roman" w:hAnsi="Times New Roman" w:cs="Times New Roman"/>
          <w:sz w:val="24"/>
          <w:szCs w:val="24"/>
        </w:rPr>
        <w:t>). Para ello es necesario entender cómo especies en particular, pueden contribuir para el entendimiento de la dinámica temporal, específicamente aquellas que están respondiendo a través de migraciones altitudinales, o regionales de corta distancia, en respuesta a las variaciones ambientales.</w:t>
      </w:r>
    </w:p>
    <w:p w14:paraId="5111A694" w14:textId="77777777" w:rsidR="002C2257" w:rsidRDefault="002C2257" w:rsidP="002C2257">
      <w:pPr>
        <w:pStyle w:val="Sinespaciado"/>
        <w:spacing w:line="360" w:lineRule="auto"/>
        <w:rPr>
          <w:rFonts w:ascii="Times New Roman" w:hAnsi="Times New Roman" w:cs="Times New Roman"/>
          <w:sz w:val="24"/>
          <w:szCs w:val="24"/>
        </w:rPr>
      </w:pPr>
      <w:r w:rsidRPr="001A47BB">
        <w:rPr>
          <w:rFonts w:ascii="Times New Roman" w:hAnsi="Times New Roman" w:cs="Times New Roman"/>
          <w:sz w:val="24"/>
          <w:szCs w:val="24"/>
        </w:rPr>
        <w:t>La mayoría de los esfuerzos para entender el fenómeno migratorio en aves se ha concentrado en las causas y los patrones de los movimientos a largas distancias (Boyle &amp; Conway 2</w:t>
      </w:r>
      <w:r>
        <w:rPr>
          <w:rFonts w:ascii="Times New Roman" w:hAnsi="Times New Roman" w:cs="Times New Roman"/>
          <w:sz w:val="24"/>
          <w:szCs w:val="24"/>
        </w:rPr>
        <w:t>007, Boyle 2008). A</w:t>
      </w:r>
      <w:r w:rsidRPr="001A47BB">
        <w:rPr>
          <w:rFonts w:ascii="Times New Roman" w:hAnsi="Times New Roman" w:cs="Times New Roman"/>
          <w:sz w:val="24"/>
          <w:szCs w:val="24"/>
        </w:rPr>
        <w:t xml:space="preserve"> pesar de la importancia de otras conductas migratorias, como las presentes en especies con movimientos migratorios intratropicales, altitudinales o con migraciones parciales, éstas permanecen aún poco entendidas (Sekercioglu 2010).</w:t>
      </w:r>
    </w:p>
    <w:p w14:paraId="2D304BB7" w14:textId="77777777" w:rsidR="002C2257" w:rsidRDefault="002C2257" w:rsidP="002C2257">
      <w:pPr>
        <w:ind w:firstLine="708"/>
        <w:rPr>
          <w:rFonts w:ascii="Times New Roman" w:hAnsi="Times New Roman" w:cs="Times New Roman"/>
          <w:sz w:val="24"/>
          <w:szCs w:val="24"/>
        </w:rPr>
      </w:pPr>
      <w:r w:rsidRPr="006550DC">
        <w:rPr>
          <w:rFonts w:ascii="Times New Roman" w:hAnsi="Times New Roman" w:cs="Times New Roman"/>
          <w:sz w:val="24"/>
          <w:szCs w:val="24"/>
        </w:rPr>
        <w:t>El loro corona lila</w:t>
      </w:r>
      <w:r w:rsidRPr="006550DC">
        <w:rPr>
          <w:rFonts w:ascii="Times New Roman" w:hAnsi="Times New Roman" w:cs="Times New Roman"/>
          <w:sz w:val="24"/>
          <w:szCs w:val="24"/>
          <w:lang w:val="es-ES"/>
        </w:rPr>
        <w:t xml:space="preserve"> (</w:t>
      </w:r>
      <w:r w:rsidRPr="006550DC">
        <w:rPr>
          <w:rFonts w:ascii="Times New Roman" w:hAnsi="Times New Roman" w:cs="Times New Roman"/>
          <w:i/>
          <w:sz w:val="24"/>
          <w:szCs w:val="24"/>
        </w:rPr>
        <w:t>Amazona finschi</w:t>
      </w:r>
      <w:r>
        <w:rPr>
          <w:rFonts w:ascii="Times New Roman" w:hAnsi="Times New Roman" w:cs="Times New Roman"/>
          <w:sz w:val="24"/>
          <w:szCs w:val="24"/>
        </w:rPr>
        <w:t>; Sclater, 1864</w:t>
      </w:r>
      <w:r w:rsidRPr="006550DC">
        <w:rPr>
          <w:rFonts w:ascii="Times New Roman" w:hAnsi="Times New Roman" w:cs="Times New Roman"/>
          <w:sz w:val="24"/>
          <w:szCs w:val="24"/>
          <w:lang w:val="es-ES"/>
        </w:rPr>
        <w:t>)</w:t>
      </w:r>
      <w:r w:rsidRPr="006550DC">
        <w:rPr>
          <w:rFonts w:ascii="Times New Roman" w:hAnsi="Times New Roman" w:cs="Times New Roman"/>
          <w:sz w:val="24"/>
          <w:szCs w:val="24"/>
        </w:rPr>
        <w:t xml:space="preserve"> es una de las tres especies endémicas de México pertenecientes al género y la única que se distribuye en las tierras bajas de la vertiente del Pacífico</w:t>
      </w:r>
      <w:r>
        <w:rPr>
          <w:rFonts w:ascii="Times New Roman" w:hAnsi="Times New Roman" w:cs="Times New Roman"/>
          <w:sz w:val="24"/>
          <w:szCs w:val="24"/>
        </w:rPr>
        <w:t xml:space="preserve">,asociada a las </w:t>
      </w:r>
      <w:r w:rsidRPr="00C02674">
        <w:rPr>
          <w:rFonts w:ascii="Times New Roman" w:hAnsi="Times New Roman" w:cs="Times New Roman"/>
          <w:sz w:val="24"/>
          <w:szCs w:val="24"/>
        </w:rPr>
        <w:t>selvas secas y semi-húmedas</w:t>
      </w:r>
      <w:r w:rsidRPr="006550DC">
        <w:rPr>
          <w:rFonts w:ascii="Times New Roman" w:hAnsi="Times New Roman" w:cs="Times New Roman"/>
          <w:sz w:val="24"/>
          <w:szCs w:val="24"/>
        </w:rPr>
        <w:t>desde Sonora hasta el Istmo de Tehuantepec (Forshaw 1989, Howell y Webb 1995</w:t>
      </w:r>
      <w:r>
        <w:rPr>
          <w:rFonts w:ascii="Times New Roman" w:hAnsi="Times New Roman" w:cs="Times New Roman"/>
          <w:sz w:val="24"/>
          <w:szCs w:val="24"/>
        </w:rPr>
        <w:t xml:space="preserve">; </w:t>
      </w:r>
      <w:r w:rsidRPr="006550DC">
        <w:rPr>
          <w:rFonts w:ascii="Times New Roman" w:hAnsi="Times New Roman" w:cs="Times New Roman"/>
          <w:sz w:val="24"/>
          <w:szCs w:val="24"/>
        </w:rPr>
        <w:t>Ortega-Rodríguez y Monterrubio-Rico, 2008</w:t>
      </w:r>
      <w:r>
        <w:rPr>
          <w:rFonts w:ascii="Times New Roman" w:hAnsi="Times New Roman" w:cs="Times New Roman"/>
          <w:sz w:val="24"/>
          <w:szCs w:val="24"/>
        </w:rPr>
        <w:t xml:space="preserve">; </w:t>
      </w:r>
      <w:r w:rsidRPr="006550DC">
        <w:rPr>
          <w:rFonts w:ascii="Times New Roman" w:hAnsi="Times New Roman" w:cs="Times New Roman"/>
          <w:sz w:val="24"/>
          <w:szCs w:val="24"/>
        </w:rPr>
        <w:t>Ríos-Muñoz y Navarro-Sigüenza, 2009; Marín-Togo et al.2012).</w:t>
      </w:r>
      <w:r>
        <w:rPr>
          <w:rFonts w:ascii="Times New Roman" w:hAnsi="Times New Roman" w:cs="Times New Roman"/>
          <w:sz w:val="24"/>
          <w:szCs w:val="24"/>
        </w:rPr>
        <w:t xml:space="preserve">Estos ambientes se </w:t>
      </w:r>
      <w:r w:rsidRPr="00C02674">
        <w:rPr>
          <w:rFonts w:ascii="Times New Roman" w:hAnsi="Times New Roman" w:cs="Times New Roman"/>
          <w:sz w:val="24"/>
          <w:szCs w:val="24"/>
        </w:rPr>
        <w:t>caracteriza</w:t>
      </w:r>
      <w:r>
        <w:rPr>
          <w:rFonts w:ascii="Times New Roman" w:hAnsi="Times New Roman" w:cs="Times New Roman"/>
          <w:sz w:val="24"/>
          <w:szCs w:val="24"/>
        </w:rPr>
        <w:t>n</w:t>
      </w:r>
      <w:r w:rsidRPr="00C02674">
        <w:rPr>
          <w:rFonts w:ascii="Times New Roman" w:hAnsi="Times New Roman" w:cs="Times New Roman"/>
          <w:sz w:val="24"/>
          <w:szCs w:val="24"/>
        </w:rPr>
        <w:t xml:space="preserve"> por una alta variación estacional con grandes diferencias climáticas; </w:t>
      </w:r>
      <w:r>
        <w:rPr>
          <w:rFonts w:ascii="Times New Roman" w:hAnsi="Times New Roman" w:cs="Times New Roman"/>
          <w:sz w:val="24"/>
          <w:szCs w:val="24"/>
        </w:rPr>
        <w:t xml:space="preserve">lo cual podría estar </w:t>
      </w:r>
      <w:r w:rsidRPr="00C02674">
        <w:rPr>
          <w:rFonts w:ascii="Times New Roman" w:hAnsi="Times New Roman" w:cs="Times New Roman"/>
          <w:sz w:val="24"/>
          <w:szCs w:val="24"/>
        </w:rPr>
        <w:t>ejerc</w:t>
      </w:r>
      <w:r>
        <w:rPr>
          <w:rFonts w:ascii="Times New Roman" w:hAnsi="Times New Roman" w:cs="Times New Roman"/>
          <w:sz w:val="24"/>
          <w:szCs w:val="24"/>
        </w:rPr>
        <w:t>iendo</w:t>
      </w:r>
      <w:r w:rsidRPr="00C02674">
        <w:rPr>
          <w:rFonts w:ascii="Times New Roman" w:hAnsi="Times New Roman" w:cs="Times New Roman"/>
          <w:sz w:val="24"/>
          <w:szCs w:val="24"/>
        </w:rPr>
        <w:t xml:space="preserve"> una presión directa en la distribución </w:t>
      </w:r>
      <w:r>
        <w:rPr>
          <w:rFonts w:ascii="Times New Roman" w:hAnsi="Times New Roman" w:cs="Times New Roman"/>
          <w:sz w:val="24"/>
          <w:szCs w:val="24"/>
        </w:rPr>
        <w:t>temporal</w:t>
      </w:r>
      <w:r w:rsidRPr="00C02674">
        <w:rPr>
          <w:rFonts w:ascii="Times New Roman" w:hAnsi="Times New Roman" w:cs="Times New Roman"/>
          <w:sz w:val="24"/>
          <w:szCs w:val="24"/>
        </w:rPr>
        <w:t xml:space="preserve"> de la especie y cuyos patones permanecen aún desconocidos.</w:t>
      </w:r>
      <w:r>
        <w:rPr>
          <w:rFonts w:ascii="Times New Roman" w:hAnsi="Times New Roman" w:cs="Times New Roman"/>
          <w:sz w:val="24"/>
          <w:szCs w:val="24"/>
        </w:rPr>
        <w:t xml:space="preserve"> De hecho, d</w:t>
      </w:r>
      <w:r w:rsidRPr="006550DC">
        <w:rPr>
          <w:rFonts w:ascii="Times New Roman" w:hAnsi="Times New Roman" w:cs="Times New Roman"/>
          <w:sz w:val="24"/>
          <w:szCs w:val="24"/>
        </w:rPr>
        <w:t>iversos trabajos (Renton 2001, 2002; Renton e Iñigo-Elías, 2003; Renton y Salinas-Melgoza, 2004; Salinas-Melgoza y Renton, 2005; Ortega-Rodríguez y Monterrubio-Rico, 2008; Álvarez, 2010</w:t>
      </w:r>
      <w:r>
        <w:rPr>
          <w:rFonts w:ascii="Times New Roman" w:hAnsi="Times New Roman" w:cs="Times New Roman"/>
          <w:sz w:val="24"/>
          <w:szCs w:val="24"/>
        </w:rPr>
        <w:t xml:space="preserve">, </w:t>
      </w:r>
      <w:r w:rsidRPr="00A13BF7">
        <w:rPr>
          <w:rFonts w:ascii="Times New Roman" w:hAnsi="Times New Roman" w:cs="Times New Roman"/>
          <w:sz w:val="24"/>
          <w:szCs w:val="24"/>
        </w:rPr>
        <w:t>de la Parra Martínez 2011</w:t>
      </w:r>
      <w:r w:rsidRPr="006550DC">
        <w:rPr>
          <w:rFonts w:ascii="Times New Roman" w:hAnsi="Times New Roman" w:cs="Times New Roman"/>
          <w:sz w:val="24"/>
          <w:szCs w:val="24"/>
        </w:rPr>
        <w:t xml:space="preserve">) </w:t>
      </w:r>
      <w:r w:rsidRPr="004F0B62">
        <w:rPr>
          <w:rFonts w:ascii="Times New Roman" w:hAnsi="Times New Roman" w:cs="Times New Roman"/>
          <w:sz w:val="24"/>
          <w:szCs w:val="24"/>
        </w:rPr>
        <w:t xml:space="preserve">demuestran </w:t>
      </w:r>
      <w:r>
        <w:rPr>
          <w:rFonts w:ascii="Times New Roman" w:hAnsi="Times New Roman" w:cs="Times New Roman"/>
          <w:sz w:val="24"/>
          <w:szCs w:val="24"/>
        </w:rPr>
        <w:t xml:space="preserve">que existe </w:t>
      </w:r>
      <w:r w:rsidRPr="004F0B62">
        <w:rPr>
          <w:rFonts w:ascii="Times New Roman" w:hAnsi="Times New Roman" w:cs="Times New Roman"/>
          <w:sz w:val="24"/>
          <w:szCs w:val="24"/>
        </w:rPr>
        <w:t xml:space="preserve">variación interanual en </w:t>
      </w:r>
      <w:r>
        <w:rPr>
          <w:rFonts w:ascii="Times New Roman" w:hAnsi="Times New Roman" w:cs="Times New Roman"/>
          <w:sz w:val="24"/>
          <w:szCs w:val="24"/>
        </w:rPr>
        <w:t xml:space="preserve">la </w:t>
      </w:r>
      <w:r w:rsidRPr="004F0B62">
        <w:rPr>
          <w:rFonts w:ascii="Times New Roman" w:hAnsi="Times New Roman" w:cs="Times New Roman"/>
          <w:sz w:val="24"/>
          <w:szCs w:val="24"/>
        </w:rPr>
        <w:t>reproducción que está asociad</w:t>
      </w:r>
      <w:r>
        <w:rPr>
          <w:rFonts w:ascii="Times New Roman" w:hAnsi="Times New Roman" w:cs="Times New Roman"/>
          <w:sz w:val="24"/>
          <w:szCs w:val="24"/>
        </w:rPr>
        <w:t>a</w:t>
      </w:r>
      <w:r w:rsidRPr="004F0B62">
        <w:rPr>
          <w:rFonts w:ascii="Times New Roman" w:hAnsi="Times New Roman" w:cs="Times New Roman"/>
          <w:sz w:val="24"/>
          <w:szCs w:val="24"/>
        </w:rPr>
        <w:t xml:space="preserve"> con la precipitación y </w:t>
      </w:r>
      <w:r>
        <w:rPr>
          <w:rFonts w:ascii="Times New Roman" w:hAnsi="Times New Roman" w:cs="Times New Roman"/>
          <w:sz w:val="24"/>
          <w:szCs w:val="24"/>
        </w:rPr>
        <w:t xml:space="preserve">las </w:t>
      </w:r>
      <w:r w:rsidRPr="004F0B62">
        <w:rPr>
          <w:rFonts w:ascii="Times New Roman" w:hAnsi="Times New Roman" w:cs="Times New Roman"/>
          <w:sz w:val="24"/>
          <w:szCs w:val="24"/>
        </w:rPr>
        <w:t xml:space="preserve">variaciones </w:t>
      </w:r>
      <w:r>
        <w:rPr>
          <w:rFonts w:ascii="Times New Roman" w:hAnsi="Times New Roman" w:cs="Times New Roman"/>
          <w:sz w:val="24"/>
          <w:szCs w:val="24"/>
        </w:rPr>
        <w:t>de las</w:t>
      </w:r>
      <w:r w:rsidRPr="004F0B62">
        <w:rPr>
          <w:rFonts w:ascii="Times New Roman" w:hAnsi="Times New Roman" w:cs="Times New Roman"/>
          <w:sz w:val="24"/>
          <w:szCs w:val="24"/>
        </w:rPr>
        <w:t xml:space="preserve"> condiciones climáticas</w:t>
      </w:r>
      <w:r w:rsidRPr="006550DC">
        <w:rPr>
          <w:rFonts w:ascii="Times New Roman" w:hAnsi="Times New Roman" w:cs="Times New Roman"/>
          <w:sz w:val="24"/>
          <w:szCs w:val="24"/>
        </w:rPr>
        <w:t>.</w:t>
      </w:r>
    </w:p>
    <w:p w14:paraId="30D57E0D" w14:textId="77777777" w:rsidR="002C2257" w:rsidRDefault="002C2257" w:rsidP="002C2257">
      <w:pPr>
        <w:ind w:firstLine="708"/>
        <w:rPr>
          <w:rFonts w:ascii="Times New Roman" w:hAnsi="Times New Roman" w:cs="Times New Roman"/>
          <w:sz w:val="24"/>
          <w:szCs w:val="24"/>
        </w:rPr>
      </w:pPr>
      <w:r>
        <w:rPr>
          <w:rFonts w:ascii="Times New Roman" w:hAnsi="Times New Roman" w:cs="Times New Roman"/>
          <w:sz w:val="24"/>
          <w:szCs w:val="24"/>
        </w:rPr>
        <w:t>Dentro de los pocos trabajos que han abordado el análisis de la variación en su distribución ecológica, resaltan aquellos enfocados en los aparentes cambios regionales</w:t>
      </w:r>
      <w:r w:rsidRPr="00E42307">
        <w:rPr>
          <w:rFonts w:ascii="Times New Roman" w:hAnsi="Times New Roman" w:cs="Times New Roman"/>
          <w:sz w:val="24"/>
          <w:szCs w:val="24"/>
        </w:rPr>
        <w:t xml:space="preserve"> en los patrones altitudinales; </w:t>
      </w:r>
      <w:r>
        <w:rPr>
          <w:rFonts w:ascii="Times New Roman" w:hAnsi="Times New Roman" w:cs="Times New Roman"/>
          <w:sz w:val="24"/>
          <w:szCs w:val="24"/>
        </w:rPr>
        <w:t>mismos que resaltan el hecho de que</w:t>
      </w:r>
      <w:r w:rsidRPr="00E42307">
        <w:rPr>
          <w:rFonts w:ascii="Times New Roman" w:hAnsi="Times New Roman" w:cs="Times New Roman"/>
          <w:sz w:val="24"/>
          <w:szCs w:val="24"/>
        </w:rPr>
        <w:t xml:space="preserve"> históricamente</w:t>
      </w:r>
      <w:r>
        <w:rPr>
          <w:rFonts w:ascii="Times New Roman" w:hAnsi="Times New Roman" w:cs="Times New Roman"/>
          <w:sz w:val="24"/>
          <w:szCs w:val="24"/>
        </w:rPr>
        <w:t xml:space="preserve"> la especie</w:t>
      </w:r>
      <w:r w:rsidRPr="00E42307">
        <w:rPr>
          <w:rFonts w:ascii="Times New Roman" w:hAnsi="Times New Roman" w:cs="Times New Roman"/>
          <w:sz w:val="24"/>
          <w:szCs w:val="24"/>
        </w:rPr>
        <w:t xml:space="preserve"> ha sido reportada desde el nivel del mar hasta los 2000 metros (Friedmann et al. 1950; Forshaw 1989; Stotz et al. 1996); sin embargo, recientemente no se ha registrado </w:t>
      </w:r>
      <w:r w:rsidRPr="00E42307">
        <w:rPr>
          <w:rFonts w:ascii="Times New Roman" w:hAnsi="Times New Roman" w:cs="Times New Roman"/>
          <w:sz w:val="24"/>
          <w:szCs w:val="24"/>
          <w:lang w:val="es-ES"/>
        </w:rPr>
        <w:t>por encima</w:t>
      </w:r>
      <w:r w:rsidRPr="00E42307">
        <w:rPr>
          <w:rFonts w:ascii="Times New Roman" w:hAnsi="Times New Roman" w:cs="Times New Roman"/>
          <w:sz w:val="24"/>
          <w:szCs w:val="24"/>
        </w:rPr>
        <w:t xml:space="preserve"> de los 1,000 msnm ni </w:t>
      </w:r>
      <w:r>
        <w:rPr>
          <w:rFonts w:ascii="Times New Roman" w:hAnsi="Times New Roman" w:cs="Times New Roman"/>
          <w:sz w:val="24"/>
          <w:szCs w:val="24"/>
        </w:rPr>
        <w:t>en altitudes cercanas a nivel del mar,</w:t>
      </w:r>
      <w:r w:rsidRPr="00E42307">
        <w:rPr>
          <w:rFonts w:ascii="Times New Roman" w:hAnsi="Times New Roman" w:cs="Times New Roman"/>
          <w:sz w:val="24"/>
          <w:szCs w:val="24"/>
          <w:lang w:val="es-ES"/>
        </w:rPr>
        <w:t>presentando</w:t>
      </w:r>
      <w:r w:rsidRPr="00E42307">
        <w:rPr>
          <w:rFonts w:ascii="Times New Roman" w:hAnsi="Times New Roman" w:cs="Times New Roman"/>
          <w:sz w:val="24"/>
          <w:szCs w:val="24"/>
        </w:rPr>
        <w:t xml:space="preserve"> los mayores valores de abundancia entre los 500 y 600 msnm (Renton e Iñigo-Elías, 2003; Álvarez, 2010). </w:t>
      </w:r>
    </w:p>
    <w:p w14:paraId="09519902" w14:textId="77777777" w:rsidR="002C2257" w:rsidRDefault="002C2257" w:rsidP="002C2257">
      <w:pPr>
        <w:ind w:firstLine="708"/>
        <w:rPr>
          <w:rFonts w:ascii="Times New Roman" w:hAnsi="Times New Roman" w:cs="Times New Roman"/>
          <w:sz w:val="24"/>
          <w:szCs w:val="24"/>
        </w:rPr>
      </w:pPr>
      <w:r>
        <w:rPr>
          <w:rFonts w:ascii="Times New Roman" w:hAnsi="Times New Roman" w:cs="Times New Roman"/>
          <w:sz w:val="24"/>
          <w:szCs w:val="24"/>
        </w:rPr>
        <w:t>Por otro lado, a</w:t>
      </w:r>
      <w:r w:rsidRPr="00B454E2">
        <w:rPr>
          <w:rFonts w:ascii="Times New Roman" w:hAnsi="Times New Roman" w:cs="Times New Roman"/>
          <w:sz w:val="24"/>
          <w:szCs w:val="24"/>
        </w:rPr>
        <w:t>l loro corona lila se le consideraba común a lo largo de su distribución hasta los años 70 (Ridgely</w:t>
      </w:r>
      <w:r w:rsidRPr="00B454E2">
        <w:rPr>
          <w:rFonts w:ascii="Times New Roman" w:hAnsi="Times New Roman" w:cs="Times New Roman"/>
          <w:sz w:val="24"/>
          <w:szCs w:val="24"/>
          <w:lang w:val="es-ES"/>
        </w:rPr>
        <w:t>,</w:t>
      </w:r>
      <w:r w:rsidRPr="00B454E2">
        <w:rPr>
          <w:rFonts w:ascii="Times New Roman" w:hAnsi="Times New Roman" w:cs="Times New Roman"/>
          <w:sz w:val="24"/>
          <w:szCs w:val="24"/>
        </w:rPr>
        <w:t xml:space="preserve"> 1981)</w:t>
      </w:r>
      <w:r>
        <w:rPr>
          <w:rFonts w:ascii="Times New Roman" w:hAnsi="Times New Roman" w:cs="Times New Roman"/>
          <w:sz w:val="24"/>
          <w:szCs w:val="24"/>
        </w:rPr>
        <w:t>; sin embargo,</w:t>
      </w:r>
      <w:r w:rsidRPr="00B454E2">
        <w:rPr>
          <w:rFonts w:ascii="Times New Roman" w:hAnsi="Times New Roman" w:cs="Times New Roman"/>
          <w:sz w:val="24"/>
          <w:szCs w:val="24"/>
        </w:rPr>
        <w:t xml:space="preserve"> debido a su vulnerabilidad intrínseca</w:t>
      </w:r>
      <w:r>
        <w:rPr>
          <w:rFonts w:ascii="Times New Roman" w:hAnsi="Times New Roman" w:cs="Times New Roman"/>
          <w:sz w:val="24"/>
          <w:szCs w:val="24"/>
        </w:rPr>
        <w:t xml:space="preserve">, </w:t>
      </w:r>
      <w:r w:rsidRPr="00B454E2">
        <w:rPr>
          <w:rFonts w:ascii="Times New Roman" w:hAnsi="Times New Roman" w:cs="Times New Roman"/>
          <w:sz w:val="24"/>
          <w:szCs w:val="24"/>
        </w:rPr>
        <w:t xml:space="preserve">a las presiones del tráfico ilegal </w:t>
      </w:r>
      <w:r w:rsidRPr="00B454E2">
        <w:rPr>
          <w:rFonts w:ascii="Times New Roman" w:hAnsi="Times New Roman" w:cs="Times New Roman"/>
          <w:color w:val="000000" w:themeColor="text1"/>
          <w:sz w:val="24"/>
          <w:szCs w:val="24"/>
        </w:rPr>
        <w:t xml:space="preserve">y a la pérdida y fragmentación de su </w:t>
      </w:r>
      <w:r w:rsidRPr="00B454E2">
        <w:rPr>
          <w:rFonts w:ascii="Times New Roman" w:hAnsi="Times New Roman" w:cs="Times New Roman"/>
          <w:sz w:val="24"/>
          <w:szCs w:val="24"/>
        </w:rPr>
        <w:t xml:space="preserve">hábitat (Masera et al. 1997; </w:t>
      </w:r>
      <w:r w:rsidRPr="00B454E2">
        <w:rPr>
          <w:rFonts w:ascii="Times New Roman" w:hAnsi="Times New Roman" w:cs="Times New Roman"/>
          <w:color w:val="000000" w:themeColor="text1"/>
          <w:sz w:val="24"/>
          <w:szCs w:val="24"/>
        </w:rPr>
        <w:t>Trejo y Dirzo, 2000; Renton y Iñigo-Elías, 2003</w:t>
      </w:r>
      <w:r>
        <w:rPr>
          <w:rFonts w:ascii="Times New Roman" w:hAnsi="Times New Roman" w:cs="Times New Roman"/>
          <w:color w:val="000000" w:themeColor="text1"/>
          <w:sz w:val="24"/>
          <w:szCs w:val="24"/>
        </w:rPr>
        <w:t xml:space="preserve">; </w:t>
      </w:r>
      <w:r w:rsidRPr="00B454E2">
        <w:rPr>
          <w:rFonts w:ascii="Times New Roman" w:hAnsi="Times New Roman" w:cs="Times New Roman"/>
          <w:color w:val="000000" w:themeColor="text1"/>
          <w:sz w:val="24"/>
          <w:szCs w:val="24"/>
        </w:rPr>
        <w:t>Marín-Togo et al.2012)</w:t>
      </w:r>
      <w:r>
        <w:rPr>
          <w:rFonts w:ascii="Times New Roman" w:hAnsi="Times New Roman" w:cs="Times New Roman"/>
          <w:color w:val="000000" w:themeColor="text1"/>
          <w:sz w:val="24"/>
          <w:szCs w:val="24"/>
        </w:rPr>
        <w:t xml:space="preserve">, </w:t>
      </w:r>
      <w:r w:rsidRPr="00B454E2">
        <w:rPr>
          <w:rFonts w:ascii="Times New Roman" w:hAnsi="Times New Roman" w:cs="Times New Roman"/>
          <w:sz w:val="24"/>
          <w:szCs w:val="24"/>
        </w:rPr>
        <w:t xml:space="preserve">la especie pasó de ser catalogada como “amenazada” a “en peligro” de acuerdo con </w:t>
      </w:r>
      <w:r w:rsidRPr="00B454E2">
        <w:rPr>
          <w:rFonts w:ascii="Times New Roman" w:hAnsi="Times New Roman" w:cs="Times New Roman"/>
          <w:color w:val="000000" w:themeColor="text1"/>
          <w:sz w:val="24"/>
          <w:szCs w:val="24"/>
        </w:rPr>
        <w:t xml:space="preserve">la Norma Oficial </w:t>
      </w:r>
      <w:r w:rsidRPr="00B454E2">
        <w:rPr>
          <w:rFonts w:ascii="Times New Roman" w:hAnsi="Times New Roman" w:cs="Times New Roman"/>
          <w:sz w:val="24"/>
          <w:szCs w:val="24"/>
        </w:rPr>
        <w:t>Mexicana NOM-059 (D.O.F., 2010)</w:t>
      </w:r>
      <w:r>
        <w:rPr>
          <w:rFonts w:ascii="Times New Roman" w:hAnsi="Times New Roman" w:cs="Times New Roman"/>
          <w:sz w:val="24"/>
          <w:szCs w:val="24"/>
        </w:rPr>
        <w:t xml:space="preserve">, y con base en la Unión Internacional para la Conservación de la Naturaleza (UICN; </w:t>
      </w:r>
      <w:r w:rsidRPr="000A56AF">
        <w:rPr>
          <w:rFonts w:ascii="Times New Roman" w:hAnsi="Times New Roman" w:cs="Times New Roman"/>
          <w:sz w:val="24"/>
          <w:szCs w:val="24"/>
        </w:rPr>
        <w:t>http://www.iucnredlist.org</w:t>
      </w:r>
      <w:r>
        <w:rPr>
          <w:rFonts w:ascii="Times New Roman" w:hAnsi="Times New Roman" w:cs="Times New Roman"/>
          <w:sz w:val="24"/>
          <w:szCs w:val="24"/>
        </w:rPr>
        <w:t xml:space="preserve">). A pesar de ello, </w:t>
      </w:r>
      <w:r w:rsidRPr="006550DC">
        <w:rPr>
          <w:rFonts w:ascii="Times New Roman" w:hAnsi="Times New Roman" w:cs="Times New Roman"/>
          <w:sz w:val="24"/>
          <w:szCs w:val="24"/>
        </w:rPr>
        <w:t xml:space="preserve">a la fecha no existen estudios enfocados </w:t>
      </w:r>
      <w:r>
        <w:rPr>
          <w:rFonts w:ascii="Times New Roman" w:hAnsi="Times New Roman" w:cs="Times New Roman"/>
          <w:sz w:val="24"/>
          <w:szCs w:val="24"/>
        </w:rPr>
        <w:t>al análisis de</w:t>
      </w:r>
      <w:r w:rsidRPr="006550DC">
        <w:rPr>
          <w:rFonts w:ascii="Times New Roman" w:hAnsi="Times New Roman" w:cs="Times New Roman"/>
          <w:sz w:val="24"/>
          <w:szCs w:val="24"/>
        </w:rPr>
        <w:t xml:space="preserve"> la distribución estacional de la especie</w:t>
      </w:r>
      <w:r>
        <w:rPr>
          <w:rFonts w:ascii="Times New Roman" w:hAnsi="Times New Roman" w:cs="Times New Roman"/>
          <w:sz w:val="24"/>
          <w:szCs w:val="24"/>
        </w:rPr>
        <w:t xml:space="preserve"> </w:t>
      </w:r>
      <w:r w:rsidRPr="006550DC">
        <w:rPr>
          <w:rFonts w:ascii="Times New Roman" w:hAnsi="Times New Roman" w:cs="Times New Roman"/>
          <w:sz w:val="24"/>
          <w:szCs w:val="24"/>
        </w:rPr>
        <w:t>y su relación con la variación del clima</w:t>
      </w:r>
      <w:r>
        <w:rPr>
          <w:rFonts w:ascii="Times New Roman" w:hAnsi="Times New Roman" w:cs="Times New Roman"/>
          <w:sz w:val="24"/>
          <w:szCs w:val="24"/>
        </w:rPr>
        <w:t xml:space="preserve">; y los que existen, se limitan a la descripción de la variación </w:t>
      </w:r>
      <w:r w:rsidRPr="004F0B62">
        <w:rPr>
          <w:rFonts w:ascii="Times New Roman" w:hAnsi="Times New Roman" w:cs="Times New Roman"/>
          <w:sz w:val="24"/>
          <w:szCs w:val="24"/>
        </w:rPr>
        <w:t>estacional en los requerimientos</w:t>
      </w:r>
      <w:r>
        <w:rPr>
          <w:rFonts w:ascii="Times New Roman" w:hAnsi="Times New Roman" w:cs="Times New Roman"/>
          <w:sz w:val="24"/>
          <w:szCs w:val="24"/>
        </w:rPr>
        <w:t xml:space="preserve"> </w:t>
      </w:r>
      <w:r w:rsidRPr="004F0B62">
        <w:rPr>
          <w:rFonts w:ascii="Times New Roman" w:hAnsi="Times New Roman" w:cs="Times New Roman"/>
          <w:sz w:val="24"/>
          <w:szCs w:val="24"/>
        </w:rPr>
        <w:t xml:space="preserve">y </w:t>
      </w:r>
      <w:r>
        <w:rPr>
          <w:rFonts w:ascii="Times New Roman" w:hAnsi="Times New Roman" w:cs="Times New Roman"/>
          <w:sz w:val="24"/>
          <w:szCs w:val="24"/>
        </w:rPr>
        <w:t xml:space="preserve">de </w:t>
      </w:r>
      <w:r w:rsidRPr="004F0B62">
        <w:rPr>
          <w:rFonts w:ascii="Times New Roman" w:hAnsi="Times New Roman" w:cs="Times New Roman"/>
          <w:sz w:val="24"/>
          <w:szCs w:val="24"/>
        </w:rPr>
        <w:t>la ecología de la especie</w:t>
      </w:r>
      <w:r>
        <w:rPr>
          <w:rFonts w:ascii="Times New Roman" w:hAnsi="Times New Roman" w:cs="Times New Roman"/>
          <w:sz w:val="24"/>
          <w:szCs w:val="24"/>
        </w:rPr>
        <w:t>, como son:</w:t>
      </w:r>
      <w:r w:rsidRPr="006550DC">
        <w:rPr>
          <w:rFonts w:ascii="Times New Roman" w:hAnsi="Times New Roman" w:cs="Times New Roman"/>
          <w:sz w:val="24"/>
          <w:szCs w:val="24"/>
        </w:rPr>
        <w:t xml:space="preserve"> la dieta, anidación y parámetros reproductivos (</w:t>
      </w:r>
      <w:r>
        <w:rPr>
          <w:rFonts w:ascii="Times New Roman" w:hAnsi="Times New Roman" w:cs="Times New Roman"/>
          <w:sz w:val="24"/>
          <w:szCs w:val="24"/>
        </w:rPr>
        <w:t>e.g.</w:t>
      </w:r>
      <w:r w:rsidRPr="006550DC">
        <w:rPr>
          <w:rFonts w:ascii="Times New Roman" w:hAnsi="Times New Roman" w:cs="Times New Roman"/>
          <w:sz w:val="24"/>
          <w:szCs w:val="24"/>
        </w:rPr>
        <w:t xml:space="preserve">Renton 2001, 2002; Ortega-Rodríguez y Monterrubio-Rico 2008). </w:t>
      </w:r>
      <w:r>
        <w:rPr>
          <w:rFonts w:ascii="Times New Roman" w:hAnsi="Times New Roman" w:cs="Times New Roman"/>
          <w:sz w:val="24"/>
          <w:szCs w:val="24"/>
        </w:rPr>
        <w:t>Por ello, e</w:t>
      </w:r>
      <w:r w:rsidRPr="006550DC">
        <w:rPr>
          <w:rFonts w:ascii="Times New Roman" w:hAnsi="Times New Roman" w:cs="Times New Roman"/>
          <w:sz w:val="24"/>
          <w:szCs w:val="24"/>
        </w:rPr>
        <w:t>l objetivo del presente trabajo fue describir la distribución geográfica, ecológica y estacional del loro corona lila mediante el uso de modelos de nicho ecológico</w:t>
      </w:r>
      <w:r>
        <w:rPr>
          <w:rFonts w:ascii="Times New Roman" w:hAnsi="Times New Roman" w:cs="Times New Roman"/>
          <w:sz w:val="24"/>
          <w:szCs w:val="24"/>
        </w:rPr>
        <w:t xml:space="preserve"> (MNE); los cuales han sido utilizados para el entendimiento de los movimientos estacionales de aves migratorias de larga distancia (e.g. Nakazawa et al. 2004, Pérez-Moreno et al. 2016), así como de especies con movimientos migratorios cortos (e.g. Sobral-Macondes et al. 2014).</w:t>
      </w:r>
    </w:p>
    <w:p w14:paraId="1A67A4DD" w14:textId="77777777" w:rsidR="002C2257" w:rsidRPr="006550DC" w:rsidRDefault="002C2257" w:rsidP="002C2257">
      <w:pPr>
        <w:ind w:firstLine="0"/>
        <w:jc w:val="center"/>
        <w:rPr>
          <w:rFonts w:ascii="Times New Roman" w:hAnsi="Times New Roman" w:cs="Times New Roman"/>
          <w:sz w:val="24"/>
          <w:szCs w:val="24"/>
        </w:rPr>
      </w:pPr>
      <w:r w:rsidRPr="006550DC">
        <w:rPr>
          <w:rFonts w:ascii="Times New Roman" w:hAnsi="Times New Roman" w:cs="Times New Roman"/>
          <w:sz w:val="24"/>
          <w:szCs w:val="24"/>
        </w:rPr>
        <w:t>MATERIAL Y MÉTODOS</w:t>
      </w:r>
    </w:p>
    <w:p w14:paraId="152C8289" w14:textId="77777777" w:rsidR="002C2257" w:rsidRPr="006550DC" w:rsidRDefault="002C2257" w:rsidP="002C2257">
      <w:pPr>
        <w:ind w:firstLine="0"/>
        <w:rPr>
          <w:rFonts w:ascii="Times New Roman" w:hAnsi="Times New Roman" w:cs="Times New Roman"/>
          <w:sz w:val="24"/>
          <w:szCs w:val="24"/>
        </w:rPr>
      </w:pPr>
      <w:r w:rsidRPr="006550DC">
        <w:rPr>
          <w:rFonts w:ascii="Times New Roman" w:hAnsi="Times New Roman" w:cs="Times New Roman"/>
          <w:b/>
          <w:sz w:val="24"/>
          <w:szCs w:val="24"/>
        </w:rPr>
        <w:t>Obtención de información puntual y ambiental</w:t>
      </w:r>
      <w:r w:rsidRPr="006550DC">
        <w:rPr>
          <w:rFonts w:ascii="Times New Roman" w:hAnsi="Times New Roman" w:cs="Times New Roman"/>
          <w:sz w:val="24"/>
          <w:szCs w:val="24"/>
        </w:rPr>
        <w:t xml:space="preserve">: Se generó una base de datos a partir de registros de ocurrencia de la especie </w:t>
      </w:r>
      <w:r>
        <w:rPr>
          <w:rFonts w:ascii="Times New Roman" w:hAnsi="Times New Roman" w:cs="Times New Roman"/>
          <w:sz w:val="24"/>
          <w:szCs w:val="24"/>
        </w:rPr>
        <w:t xml:space="preserve">procedentes de distintas colecciones (Material Suplementario 1). Los cuales fueron </w:t>
      </w:r>
      <w:r w:rsidRPr="006550DC">
        <w:rPr>
          <w:rFonts w:ascii="Times New Roman" w:hAnsi="Times New Roman" w:cs="Times New Roman"/>
          <w:sz w:val="24"/>
          <w:szCs w:val="24"/>
        </w:rPr>
        <w:t>obtenidos,</w:t>
      </w:r>
      <w:r>
        <w:rPr>
          <w:rFonts w:ascii="Times New Roman" w:hAnsi="Times New Roman" w:cs="Times New Roman"/>
          <w:sz w:val="24"/>
          <w:szCs w:val="24"/>
        </w:rPr>
        <w:t xml:space="preserve"> </w:t>
      </w:r>
      <w:r w:rsidRPr="006550DC">
        <w:rPr>
          <w:rFonts w:ascii="Times New Roman" w:hAnsi="Times New Roman" w:cs="Times New Roman"/>
          <w:sz w:val="24"/>
          <w:szCs w:val="24"/>
        </w:rPr>
        <w:t>a partir dela Infraestructura Mundial de Información sobre Biodiversidad (GBIF por sus siglas en inglés)</w:t>
      </w:r>
      <w:r>
        <w:rPr>
          <w:rFonts w:ascii="Times New Roman" w:hAnsi="Times New Roman" w:cs="Times New Roman"/>
          <w:sz w:val="24"/>
          <w:szCs w:val="24"/>
        </w:rPr>
        <w:t xml:space="preserve">, </w:t>
      </w:r>
      <w:r w:rsidRPr="008D0F1F">
        <w:rPr>
          <w:rFonts w:ascii="Times New Roman" w:hAnsi="Times New Roman" w:cs="Times New Roman"/>
          <w:sz w:val="24"/>
          <w:szCs w:val="24"/>
        </w:rPr>
        <w:t>se incl</w:t>
      </w:r>
      <w:r>
        <w:rPr>
          <w:rFonts w:ascii="Times New Roman" w:hAnsi="Times New Roman" w:cs="Times New Roman"/>
          <w:sz w:val="24"/>
          <w:szCs w:val="24"/>
        </w:rPr>
        <w:t xml:space="preserve">uyeron todos los registros </w:t>
      </w:r>
      <w:r w:rsidRPr="008D0F1F">
        <w:rPr>
          <w:rFonts w:ascii="Times New Roman" w:hAnsi="Times New Roman" w:cs="Times New Roman"/>
          <w:sz w:val="24"/>
          <w:szCs w:val="24"/>
        </w:rPr>
        <w:t>hasta 2014 aunque estos se ubicaran en áreas donde actualmente la especie ha sido extirpada (Oaxaca) ya que estos contienen información ambiental importante.</w:t>
      </w:r>
      <w:r>
        <w:rPr>
          <w:rFonts w:ascii="Times New Roman" w:hAnsi="Times New Roman" w:cs="Times New Roman"/>
          <w:sz w:val="24"/>
          <w:szCs w:val="24"/>
        </w:rPr>
        <w:t xml:space="preserve"> </w:t>
      </w:r>
      <w:r w:rsidRPr="006550DC">
        <w:rPr>
          <w:rFonts w:ascii="Times New Roman" w:hAnsi="Times New Roman" w:cs="Times New Roman"/>
          <w:sz w:val="24"/>
          <w:szCs w:val="24"/>
        </w:rPr>
        <w:t>Todos los registros de ocurrencia</w:t>
      </w:r>
      <w:r>
        <w:rPr>
          <w:rFonts w:ascii="Times New Roman" w:hAnsi="Times New Roman" w:cs="Times New Roman"/>
          <w:sz w:val="24"/>
          <w:szCs w:val="24"/>
        </w:rPr>
        <w:t xml:space="preserve"> </w:t>
      </w:r>
      <w:r w:rsidRPr="006550DC">
        <w:rPr>
          <w:rFonts w:ascii="Times New Roman" w:hAnsi="Times New Roman" w:cs="Times New Roman"/>
          <w:sz w:val="24"/>
          <w:szCs w:val="24"/>
        </w:rPr>
        <w:t>se analizaron en un Sistema de Información Geográfica (SIG) ArcGis 10.1 (ESRI, 2011); eliminando aquellos mal georreferenciados, sin fecha, duplicados y dudosos, considerando la distribución histórica conocida de la especie con base en Howell y Webb (1995)</w:t>
      </w:r>
      <w:r>
        <w:rPr>
          <w:rFonts w:ascii="Times New Roman" w:hAnsi="Times New Roman" w:cs="Times New Roman"/>
          <w:sz w:val="24"/>
          <w:szCs w:val="24"/>
        </w:rPr>
        <w:t xml:space="preserve">, </w:t>
      </w:r>
      <w:r w:rsidRPr="006428FB">
        <w:rPr>
          <w:rFonts w:ascii="Times New Roman" w:hAnsi="Times New Roman" w:cs="Times New Roman"/>
          <w:sz w:val="24"/>
          <w:szCs w:val="24"/>
        </w:rPr>
        <w:t xml:space="preserve">obteniendo una base de datos </w:t>
      </w:r>
      <w:r>
        <w:rPr>
          <w:rFonts w:ascii="Times New Roman" w:hAnsi="Times New Roman" w:cs="Times New Roman"/>
          <w:sz w:val="24"/>
          <w:szCs w:val="24"/>
        </w:rPr>
        <w:t xml:space="preserve">verificada </w:t>
      </w:r>
      <w:r w:rsidRPr="006428FB">
        <w:rPr>
          <w:rFonts w:ascii="Times New Roman" w:hAnsi="Times New Roman" w:cs="Times New Roman"/>
          <w:sz w:val="24"/>
          <w:szCs w:val="24"/>
        </w:rPr>
        <w:t>de 428 ocurrencias históricas. Posteriormente, los datos se separaron por mes (35 ocurrencias en promedio, con un rango de 10 a 64 y una desviación estándar de 19) y por temporada tomando en cuenta lo propues</w:t>
      </w:r>
      <w:r>
        <w:rPr>
          <w:rFonts w:ascii="Times New Roman" w:hAnsi="Times New Roman" w:cs="Times New Roman"/>
          <w:sz w:val="24"/>
          <w:szCs w:val="24"/>
        </w:rPr>
        <w:t>to por Renton y Salinas-Melgoza</w:t>
      </w:r>
      <w:r w:rsidRPr="006428FB">
        <w:rPr>
          <w:rFonts w:ascii="Times New Roman" w:hAnsi="Times New Roman" w:cs="Times New Roman"/>
          <w:sz w:val="24"/>
          <w:szCs w:val="24"/>
        </w:rPr>
        <w:t xml:space="preserve"> (1999): reproductiva (febrero a mayo, 208 ocurrencias) y no reproductiva (junio a octubre, 106 ocurrencias).</w:t>
      </w:r>
    </w:p>
    <w:p w14:paraId="679889D9" w14:textId="77777777" w:rsidR="002C2257" w:rsidRPr="006550DC" w:rsidRDefault="002C2257" w:rsidP="002C2257">
      <w:pPr>
        <w:ind w:firstLine="708"/>
        <w:rPr>
          <w:rFonts w:ascii="Times New Roman" w:hAnsi="Times New Roman" w:cs="Times New Roman"/>
          <w:sz w:val="24"/>
          <w:szCs w:val="24"/>
        </w:rPr>
      </w:pPr>
      <w:r w:rsidRPr="006550DC">
        <w:rPr>
          <w:rFonts w:ascii="Times New Roman" w:hAnsi="Times New Roman" w:cs="Times New Roman"/>
          <w:sz w:val="24"/>
          <w:szCs w:val="24"/>
        </w:rPr>
        <w:t xml:space="preserve">Para caracterizar el nicho ambiental se usaron coberturas correspondientes a las </w:t>
      </w:r>
      <w:r>
        <w:rPr>
          <w:rFonts w:ascii="Times New Roman" w:hAnsi="Times New Roman" w:cs="Times New Roman"/>
          <w:sz w:val="24"/>
          <w:szCs w:val="24"/>
        </w:rPr>
        <w:t>temperaturas mínimas y máximas, así como la</w:t>
      </w:r>
      <w:r w:rsidRPr="006550DC">
        <w:rPr>
          <w:rFonts w:ascii="Times New Roman" w:hAnsi="Times New Roman" w:cs="Times New Roman"/>
          <w:sz w:val="24"/>
          <w:szCs w:val="24"/>
        </w:rPr>
        <w:t xml:space="preserve"> precipitación acumulada por mes (Hijmans et al. 2005), las cuales se encuentran a una resolución </w:t>
      </w:r>
      <w:r w:rsidRPr="006428FB">
        <w:rPr>
          <w:rFonts w:ascii="Times New Roman" w:hAnsi="Times New Roman" w:cs="Times New Roman"/>
          <w:sz w:val="24"/>
          <w:szCs w:val="24"/>
        </w:rPr>
        <w:t>de 0.0083 grados (~1 km²) y</w:t>
      </w:r>
      <w:r>
        <w:rPr>
          <w:rFonts w:ascii="Times New Roman" w:hAnsi="Times New Roman" w:cs="Times New Roman"/>
          <w:sz w:val="24"/>
          <w:szCs w:val="24"/>
        </w:rPr>
        <w:t xml:space="preserve"> son el promedio de 50 años. Se incluyeron</w:t>
      </w:r>
      <w:r w:rsidRPr="006550DC">
        <w:rPr>
          <w:rFonts w:ascii="Times New Roman" w:hAnsi="Times New Roman" w:cs="Times New Roman"/>
          <w:sz w:val="24"/>
          <w:szCs w:val="24"/>
        </w:rPr>
        <w:t xml:space="preserve"> además dos coberturas topográficas: el índice topográfico compuesto (</w:t>
      </w:r>
      <w:r w:rsidRPr="006428FB">
        <w:rPr>
          <w:rFonts w:ascii="Times New Roman" w:hAnsi="Times New Roman" w:cs="Times New Roman"/>
          <w:sz w:val="24"/>
          <w:szCs w:val="24"/>
        </w:rPr>
        <w:t>CTI</w:t>
      </w:r>
      <w:r>
        <w:rPr>
          <w:rFonts w:ascii="Times New Roman" w:hAnsi="Times New Roman" w:cs="Times New Roman"/>
          <w:sz w:val="24"/>
          <w:szCs w:val="24"/>
        </w:rPr>
        <w:t>;</w:t>
      </w:r>
      <w:r w:rsidRPr="006428FB">
        <w:rPr>
          <w:rFonts w:ascii="Times New Roman" w:hAnsi="Times New Roman" w:cs="Times New Roman"/>
          <w:sz w:val="24"/>
          <w:szCs w:val="24"/>
        </w:rPr>
        <w:t xml:space="preserve"> que se refiere a la capacidad del terreno para encharcar el agua considerando su forma) y la pendiente</w:t>
      </w:r>
      <w:r>
        <w:rPr>
          <w:rFonts w:ascii="Times New Roman" w:hAnsi="Times New Roman" w:cs="Times New Roman"/>
          <w:sz w:val="24"/>
          <w:szCs w:val="24"/>
        </w:rPr>
        <w:t xml:space="preserve"> (USGS, 2005)</w:t>
      </w:r>
      <w:r w:rsidRPr="006428FB">
        <w:rPr>
          <w:rFonts w:ascii="Times New Roman" w:hAnsi="Times New Roman" w:cs="Times New Roman"/>
          <w:sz w:val="24"/>
          <w:szCs w:val="24"/>
        </w:rPr>
        <w:t>, que son variables determinantes para la especie (Ortega-Rodríguez y Monterrubio-Rico, 2008).</w:t>
      </w:r>
      <w:bookmarkStart w:id="1" w:name="_Toc422493130"/>
      <w:bookmarkStart w:id="2" w:name="_Toc422493132"/>
    </w:p>
    <w:bookmarkEnd w:id="1"/>
    <w:p w14:paraId="61ED3FFE" w14:textId="77777777" w:rsidR="002C2257" w:rsidRPr="006550DC" w:rsidRDefault="002C2257" w:rsidP="002C2257">
      <w:pPr>
        <w:ind w:firstLine="708"/>
        <w:rPr>
          <w:rFonts w:ascii="Times New Roman" w:hAnsi="Times New Roman" w:cs="Times New Roman"/>
          <w:sz w:val="24"/>
          <w:szCs w:val="24"/>
        </w:rPr>
      </w:pPr>
      <w:r w:rsidRPr="006428FB">
        <w:rPr>
          <w:rFonts w:ascii="Times New Roman" w:hAnsi="Times New Roman" w:cs="Times New Roman"/>
          <w:sz w:val="24"/>
          <w:szCs w:val="24"/>
        </w:rPr>
        <w:t xml:space="preserve">Se determinó un área </w:t>
      </w:r>
      <w:r>
        <w:rPr>
          <w:rFonts w:ascii="Times New Roman" w:hAnsi="Times New Roman" w:cs="Times New Roman"/>
          <w:sz w:val="24"/>
          <w:szCs w:val="24"/>
        </w:rPr>
        <w:t xml:space="preserve">de </w:t>
      </w:r>
      <w:r w:rsidRPr="006428FB">
        <w:rPr>
          <w:rFonts w:ascii="Times New Roman" w:hAnsi="Times New Roman" w:cs="Times New Roman"/>
          <w:sz w:val="24"/>
          <w:szCs w:val="24"/>
        </w:rPr>
        <w:t>accesib</w:t>
      </w:r>
      <w:r>
        <w:rPr>
          <w:rFonts w:ascii="Times New Roman" w:hAnsi="Times New Roman" w:cs="Times New Roman"/>
          <w:sz w:val="24"/>
          <w:szCs w:val="24"/>
        </w:rPr>
        <w:t>ilidad de</w:t>
      </w:r>
      <w:r w:rsidRPr="006428FB">
        <w:rPr>
          <w:rFonts w:ascii="Times New Roman" w:hAnsi="Times New Roman" w:cs="Times New Roman"/>
          <w:sz w:val="24"/>
          <w:szCs w:val="24"/>
        </w:rPr>
        <w:t xml:space="preserve"> la especie</w:t>
      </w:r>
      <w:r>
        <w:rPr>
          <w:rFonts w:ascii="Times New Roman" w:hAnsi="Times New Roman" w:cs="Times New Roman"/>
          <w:sz w:val="24"/>
          <w:szCs w:val="24"/>
        </w:rPr>
        <w:t xml:space="preserve">, ya que ésta es determinante en la generación de los modelos de nichos, ya que establece el área histórica donde la especie se circunscribe; además, la influencia de las variables y la validación de los modelos dependen de la extensión de área accesible </w:t>
      </w:r>
      <w:r w:rsidRPr="006428FB">
        <w:rPr>
          <w:rFonts w:ascii="Times New Roman" w:hAnsi="Times New Roman" w:cs="Times New Roman"/>
          <w:sz w:val="24"/>
          <w:szCs w:val="24"/>
        </w:rPr>
        <w:t>(</w:t>
      </w:r>
      <w:r w:rsidRPr="00A13BF7">
        <w:rPr>
          <w:rFonts w:ascii="Times New Roman" w:hAnsi="Times New Roman" w:cs="Times New Roman"/>
          <w:sz w:val="24"/>
          <w:szCs w:val="24"/>
        </w:rPr>
        <w:t>Soberón, 2007</w:t>
      </w:r>
      <w:r>
        <w:rPr>
          <w:rFonts w:ascii="Times New Roman" w:hAnsi="Times New Roman" w:cs="Times New Roman"/>
          <w:sz w:val="24"/>
          <w:szCs w:val="24"/>
        </w:rPr>
        <w:t xml:space="preserve">; </w:t>
      </w:r>
      <w:r w:rsidRPr="006428FB">
        <w:rPr>
          <w:rFonts w:ascii="Times New Roman" w:hAnsi="Times New Roman" w:cs="Times New Roman"/>
          <w:sz w:val="24"/>
          <w:szCs w:val="24"/>
        </w:rPr>
        <w:t>Barve</w:t>
      </w:r>
      <w:r>
        <w:rPr>
          <w:rFonts w:ascii="Times New Roman" w:hAnsi="Times New Roman" w:cs="Times New Roman"/>
          <w:sz w:val="24"/>
          <w:szCs w:val="24"/>
        </w:rPr>
        <w:t>,</w:t>
      </w:r>
      <w:r w:rsidRPr="006428FB">
        <w:rPr>
          <w:rFonts w:ascii="Times New Roman" w:hAnsi="Times New Roman" w:cs="Times New Roman"/>
          <w:sz w:val="24"/>
          <w:szCs w:val="24"/>
        </w:rPr>
        <w:t>et al. 2011).</w:t>
      </w:r>
      <w:r>
        <w:rPr>
          <w:rFonts w:ascii="Times New Roman" w:hAnsi="Times New Roman" w:cs="Times New Roman"/>
          <w:sz w:val="24"/>
          <w:szCs w:val="24"/>
        </w:rPr>
        <w:t xml:space="preserve"> </w:t>
      </w:r>
      <w:r w:rsidRPr="006428FB">
        <w:rPr>
          <w:rFonts w:ascii="Times New Roman" w:hAnsi="Times New Roman" w:cs="Times New Roman"/>
          <w:sz w:val="24"/>
          <w:szCs w:val="24"/>
        </w:rPr>
        <w:t>Para calcular dicha área se generaron</w:t>
      </w:r>
      <w:r>
        <w:rPr>
          <w:rFonts w:ascii="Times New Roman" w:hAnsi="Times New Roman" w:cs="Times New Roman"/>
          <w:sz w:val="24"/>
          <w:szCs w:val="24"/>
        </w:rPr>
        <w:t xml:space="preserve"> </w:t>
      </w:r>
      <w:r w:rsidRPr="006428FB">
        <w:rPr>
          <w:rFonts w:ascii="Times New Roman" w:hAnsi="Times New Roman" w:cs="Times New Roman"/>
          <w:sz w:val="24"/>
          <w:szCs w:val="24"/>
        </w:rPr>
        <w:t>zonas de amortiguamiento usando como radio inicial para cada punto de ocurrencia 50km que es el desplazamiento máximo conocido de la especie (Renton y Salinas-Melgoza, 2002) y continuando hasta cubrir la totalidad de los puntos.</w:t>
      </w:r>
      <w:r>
        <w:rPr>
          <w:rFonts w:ascii="Times New Roman" w:hAnsi="Times New Roman" w:cs="Times New Roman"/>
          <w:sz w:val="24"/>
          <w:szCs w:val="24"/>
        </w:rPr>
        <w:t xml:space="preserve"> </w:t>
      </w:r>
      <w:r w:rsidRPr="006428FB">
        <w:rPr>
          <w:rFonts w:ascii="Times New Roman" w:hAnsi="Times New Roman" w:cs="Times New Roman"/>
          <w:sz w:val="24"/>
          <w:szCs w:val="24"/>
        </w:rPr>
        <w:t xml:space="preserve">Si bien estas no consideran </w:t>
      </w:r>
      <w:r>
        <w:rPr>
          <w:rFonts w:ascii="Times New Roman" w:hAnsi="Times New Roman" w:cs="Times New Roman"/>
          <w:sz w:val="24"/>
          <w:szCs w:val="24"/>
        </w:rPr>
        <w:t>aspectos topográficos, sí</w:t>
      </w:r>
      <w:r w:rsidRPr="006428FB">
        <w:rPr>
          <w:rFonts w:ascii="Times New Roman" w:hAnsi="Times New Roman" w:cs="Times New Roman"/>
          <w:sz w:val="24"/>
          <w:szCs w:val="24"/>
        </w:rPr>
        <w:t xml:space="preserve"> nos facilitan establecer un área en la cual la especie puede ocurrir y, mediante el modelado, determinar en qué partes de esta existen o no las condiciones ambientales usadas por la especie.</w:t>
      </w:r>
    </w:p>
    <w:p w14:paraId="65BCDE45" w14:textId="77777777" w:rsidR="002C2257" w:rsidRDefault="002C2257" w:rsidP="002C2257">
      <w:pPr>
        <w:ind w:firstLine="0"/>
        <w:rPr>
          <w:rFonts w:ascii="Times New Roman" w:hAnsi="Times New Roman" w:cs="Times New Roman"/>
          <w:sz w:val="24"/>
          <w:szCs w:val="24"/>
        </w:rPr>
      </w:pPr>
      <w:r w:rsidRPr="00C74243">
        <w:rPr>
          <w:rFonts w:ascii="Times New Roman" w:hAnsi="Times New Roman" w:cs="Times New Roman"/>
          <w:b/>
          <w:sz w:val="24"/>
          <w:szCs w:val="24"/>
        </w:rPr>
        <w:t>Modelado</w:t>
      </w:r>
      <w:bookmarkEnd w:id="2"/>
      <w:r w:rsidRPr="00C74243">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E</w:t>
      </w:r>
      <w:r w:rsidRPr="00C74243">
        <w:rPr>
          <w:rFonts w:ascii="Times New Roman" w:hAnsi="Times New Roman" w:cs="Times New Roman"/>
          <w:sz w:val="24"/>
          <w:szCs w:val="24"/>
        </w:rPr>
        <w:t xml:space="preserve">l desarrollo de los </w:t>
      </w:r>
      <w:r>
        <w:rPr>
          <w:rFonts w:ascii="Times New Roman" w:hAnsi="Times New Roman" w:cs="Times New Roman"/>
          <w:sz w:val="24"/>
          <w:szCs w:val="24"/>
        </w:rPr>
        <w:t>MNE</w:t>
      </w:r>
      <w:r w:rsidRPr="00C74243">
        <w:rPr>
          <w:rFonts w:ascii="Times New Roman" w:hAnsi="Times New Roman" w:cs="Times New Roman"/>
          <w:sz w:val="24"/>
          <w:szCs w:val="24"/>
        </w:rPr>
        <w:t xml:space="preserve"> se </w:t>
      </w:r>
      <w:r>
        <w:rPr>
          <w:rFonts w:ascii="Times New Roman" w:hAnsi="Times New Roman" w:cs="Times New Roman"/>
          <w:sz w:val="24"/>
          <w:szCs w:val="24"/>
        </w:rPr>
        <w:t xml:space="preserve">llevó a cabo mediante el </w:t>
      </w:r>
      <w:r w:rsidRPr="00C74243">
        <w:rPr>
          <w:rFonts w:ascii="Times New Roman" w:hAnsi="Times New Roman" w:cs="Times New Roman"/>
          <w:sz w:val="24"/>
          <w:szCs w:val="24"/>
        </w:rPr>
        <w:t>usó</w:t>
      </w:r>
      <w:r>
        <w:rPr>
          <w:rFonts w:ascii="Times New Roman" w:hAnsi="Times New Roman" w:cs="Times New Roman"/>
          <w:sz w:val="24"/>
          <w:szCs w:val="24"/>
        </w:rPr>
        <w:t xml:space="preserve"> de </w:t>
      </w:r>
      <w:r w:rsidRPr="00C74243">
        <w:rPr>
          <w:rFonts w:ascii="Times New Roman" w:hAnsi="Times New Roman" w:cs="Times New Roman"/>
          <w:sz w:val="24"/>
          <w:szCs w:val="24"/>
        </w:rPr>
        <w:t xml:space="preserve">MaxEnt (ver. 3.3.3k, Phillips et al. 2006). </w:t>
      </w:r>
      <w:r>
        <w:rPr>
          <w:rFonts w:ascii="Times New Roman" w:hAnsi="Times New Roman" w:cs="Times New Roman"/>
          <w:sz w:val="24"/>
          <w:szCs w:val="24"/>
        </w:rPr>
        <w:t xml:space="preserve">Para la </w:t>
      </w:r>
      <w:r w:rsidRPr="00C74243">
        <w:rPr>
          <w:rFonts w:ascii="Times New Roman" w:hAnsi="Times New Roman" w:cs="Times New Roman"/>
          <w:sz w:val="24"/>
          <w:szCs w:val="24"/>
        </w:rPr>
        <w:t xml:space="preserve">parametrización de cada ejercicio de modelado, se mantuvieron </w:t>
      </w:r>
      <w:r>
        <w:rPr>
          <w:rFonts w:ascii="Times New Roman" w:hAnsi="Times New Roman" w:cs="Times New Roman"/>
          <w:sz w:val="24"/>
          <w:szCs w:val="24"/>
        </w:rPr>
        <w:t>los valores por defecto</w:t>
      </w:r>
      <w:r w:rsidRPr="00C74243">
        <w:rPr>
          <w:rFonts w:ascii="Times New Roman" w:hAnsi="Times New Roman" w:cs="Times New Roman"/>
          <w:sz w:val="24"/>
          <w:szCs w:val="24"/>
        </w:rPr>
        <w:t xml:space="preserve"> de MaxEnt, pero se desactivaron las opciones de “do clamping” y “extrapolate” para evitar extrapolaciones artificiales en los valores extremos de las variables ecológicas. Para cada caso sólo se realizó una única r</w:t>
      </w:r>
      <w:r>
        <w:rPr>
          <w:rFonts w:ascii="Times New Roman" w:hAnsi="Times New Roman" w:cs="Times New Roman"/>
          <w:sz w:val="24"/>
          <w:szCs w:val="24"/>
        </w:rPr>
        <w:t>é</w:t>
      </w:r>
      <w:r w:rsidRPr="00C74243">
        <w:rPr>
          <w:rFonts w:ascii="Times New Roman" w:hAnsi="Times New Roman" w:cs="Times New Roman"/>
          <w:sz w:val="24"/>
          <w:szCs w:val="24"/>
        </w:rPr>
        <w:t>plica.</w:t>
      </w:r>
      <w:r>
        <w:rPr>
          <w:rFonts w:ascii="Times New Roman" w:hAnsi="Times New Roman" w:cs="Times New Roman"/>
          <w:sz w:val="24"/>
          <w:szCs w:val="24"/>
        </w:rPr>
        <w:t xml:space="preserve"> Se usó la salida logística para obtener mapas digitales con probabilidades de idoneidad de hábitat continuas con valores de 0 a 1 (</w:t>
      </w:r>
      <w:r w:rsidRPr="0083379A">
        <w:rPr>
          <w:rFonts w:ascii="Times New Roman" w:hAnsi="Times New Roman" w:cs="Times New Roman"/>
          <w:sz w:val="24"/>
          <w:szCs w:val="24"/>
        </w:rPr>
        <w:t>Phillipset al., 2006).</w:t>
      </w:r>
      <w:r>
        <w:rPr>
          <w:rFonts w:ascii="Times New Roman" w:hAnsi="Times New Roman" w:cs="Times New Roman"/>
          <w:sz w:val="24"/>
          <w:szCs w:val="24"/>
        </w:rPr>
        <w:t xml:space="preserve"> </w:t>
      </w:r>
      <w:r w:rsidRPr="006550DC">
        <w:rPr>
          <w:rFonts w:ascii="Times New Roman" w:hAnsi="Times New Roman" w:cs="Times New Roman"/>
          <w:sz w:val="24"/>
          <w:szCs w:val="24"/>
        </w:rPr>
        <w:t xml:space="preserve">Para transformar los mapas probabilísticos a binarios, se estableció un umbral del 10% de omisión en los puntos de entrenamiento; es decir, se estableció como presente (1) a partir del valor de probabilidad correspondiente con la inclusión del 90% de los puntos de entrenamiento y como ausente (0) ante los valores más bajos. </w:t>
      </w:r>
    </w:p>
    <w:p w14:paraId="19A7E598" w14:textId="77777777" w:rsidR="002C2257" w:rsidRPr="006550DC" w:rsidRDefault="002C2257" w:rsidP="002C2257">
      <w:pPr>
        <w:ind w:firstLine="708"/>
        <w:rPr>
          <w:rFonts w:ascii="Times New Roman" w:hAnsi="Times New Roman" w:cs="Times New Roman"/>
          <w:sz w:val="24"/>
          <w:szCs w:val="24"/>
        </w:rPr>
      </w:pPr>
      <w:r w:rsidRPr="006550DC">
        <w:rPr>
          <w:rFonts w:ascii="Times New Roman" w:hAnsi="Times New Roman" w:cs="Times New Roman"/>
          <w:sz w:val="24"/>
          <w:szCs w:val="24"/>
        </w:rPr>
        <w:t>La validación de los modelos se llevó a cabo mediante dos aproximaciones, una a través de los valores del área bajo la curva (AUC por sus siglas en inglés) de la curva ROC (</w:t>
      </w:r>
      <w:r w:rsidRPr="006550DC">
        <w:rPr>
          <w:rStyle w:val="st"/>
          <w:rFonts w:ascii="Times New Roman" w:hAnsi="Times New Roman" w:cs="Times New Roman"/>
          <w:sz w:val="24"/>
          <w:szCs w:val="24"/>
        </w:rPr>
        <w:t>Receiver Operating Characteristic</w:t>
      </w:r>
      <w:r w:rsidRPr="006550DC">
        <w:rPr>
          <w:rFonts w:ascii="Times New Roman" w:hAnsi="Times New Roman" w:cs="Times New Roman"/>
          <w:sz w:val="24"/>
          <w:szCs w:val="24"/>
        </w:rPr>
        <w:t xml:space="preserve">) para los modelos mensuales. </w:t>
      </w:r>
      <w:r w:rsidRPr="006428FB">
        <w:rPr>
          <w:rFonts w:ascii="Times New Roman" w:hAnsi="Times New Roman" w:cs="Times New Roman"/>
          <w:sz w:val="24"/>
          <w:szCs w:val="24"/>
        </w:rPr>
        <w:t xml:space="preserve">Sin embargo, debido a que diversos problemas han sido asociados a esta prueba (Peterson et al. 2008; Lobo et al. 2008), se usó una modificación llamada ROC parcial, la cual </w:t>
      </w:r>
      <w:r>
        <w:rPr>
          <w:rFonts w:ascii="Times New Roman" w:hAnsi="Times New Roman" w:cs="Times New Roman"/>
          <w:sz w:val="24"/>
          <w:szCs w:val="24"/>
        </w:rPr>
        <w:t>otorga</w:t>
      </w:r>
      <w:r w:rsidRPr="006428FB">
        <w:rPr>
          <w:rFonts w:ascii="Times New Roman" w:hAnsi="Times New Roman" w:cs="Times New Roman"/>
          <w:sz w:val="24"/>
          <w:szCs w:val="24"/>
        </w:rPr>
        <w:t xml:space="preserve"> un peso diferencial </w:t>
      </w:r>
      <w:r>
        <w:rPr>
          <w:rFonts w:ascii="Times New Roman" w:hAnsi="Times New Roman" w:cs="Times New Roman"/>
          <w:sz w:val="24"/>
          <w:szCs w:val="24"/>
        </w:rPr>
        <w:t xml:space="preserve">a los errores de omisión y comisión </w:t>
      </w:r>
      <w:r w:rsidRPr="006428FB">
        <w:rPr>
          <w:rFonts w:ascii="Times New Roman" w:hAnsi="Times New Roman" w:cs="Times New Roman"/>
          <w:sz w:val="24"/>
          <w:szCs w:val="24"/>
        </w:rPr>
        <w:t xml:space="preserve">(Peterson et al. 2008). Esta prueba se utilizó </w:t>
      </w:r>
      <w:r>
        <w:rPr>
          <w:rFonts w:ascii="Times New Roman" w:hAnsi="Times New Roman" w:cs="Times New Roman"/>
          <w:sz w:val="24"/>
          <w:szCs w:val="24"/>
        </w:rPr>
        <w:t xml:space="preserve">sólo </w:t>
      </w:r>
      <w:r w:rsidRPr="006428FB">
        <w:rPr>
          <w:rFonts w:ascii="Times New Roman" w:hAnsi="Times New Roman" w:cs="Times New Roman"/>
          <w:sz w:val="24"/>
          <w:szCs w:val="24"/>
        </w:rPr>
        <w:t>para los modelos estacionales mediante el programa “Tool for Partial-ROC V. 1.0.” (</w:t>
      </w:r>
      <w:r w:rsidRPr="006428FB">
        <w:rPr>
          <w:rFonts w:ascii="Times New Roman" w:hAnsi="Times New Roman" w:cs="Times New Roman"/>
          <w:bCs/>
          <w:sz w:val="24"/>
          <w:szCs w:val="24"/>
        </w:rPr>
        <w:t>Barve,</w:t>
      </w:r>
      <w:r w:rsidRPr="006428FB">
        <w:rPr>
          <w:rFonts w:ascii="Times New Roman" w:hAnsi="Times New Roman" w:cs="Times New Roman"/>
          <w:sz w:val="24"/>
          <w:szCs w:val="24"/>
        </w:rPr>
        <w:t xml:space="preserve"> 2008) y considerando un valor de error de omisión menor a 5%. Para los modelos mensuales </w:t>
      </w:r>
      <w:r>
        <w:rPr>
          <w:rFonts w:ascii="Times New Roman" w:hAnsi="Times New Roman" w:cs="Times New Roman"/>
          <w:sz w:val="24"/>
          <w:szCs w:val="24"/>
        </w:rPr>
        <w:t xml:space="preserve">solo </w:t>
      </w:r>
      <w:r w:rsidRPr="006428FB">
        <w:rPr>
          <w:rFonts w:ascii="Times New Roman" w:hAnsi="Times New Roman" w:cs="Times New Roman"/>
          <w:sz w:val="24"/>
          <w:szCs w:val="24"/>
        </w:rPr>
        <w:t xml:space="preserve">se usó la ROC normal ya que se contaba con muy pocos registros </w:t>
      </w:r>
      <w:r>
        <w:rPr>
          <w:rFonts w:ascii="Times New Roman" w:hAnsi="Times New Roman" w:cs="Times New Roman"/>
          <w:sz w:val="24"/>
          <w:szCs w:val="24"/>
        </w:rPr>
        <w:t>(~</w:t>
      </w:r>
      <w:r w:rsidRPr="006428FB">
        <w:rPr>
          <w:rFonts w:ascii="Times New Roman" w:hAnsi="Times New Roman" w:cs="Times New Roman"/>
          <w:sz w:val="24"/>
          <w:szCs w:val="24"/>
        </w:rPr>
        <w:t xml:space="preserve">30). Para </w:t>
      </w:r>
      <w:r>
        <w:rPr>
          <w:rFonts w:ascii="Times New Roman" w:hAnsi="Times New Roman" w:cs="Times New Roman"/>
          <w:sz w:val="24"/>
          <w:szCs w:val="24"/>
        </w:rPr>
        <w:t xml:space="preserve">medir el desempeño de los modelos tanto en la ROC normal como en el caso de la ROC parcial, </w:t>
      </w:r>
      <w:r w:rsidRPr="006428FB">
        <w:rPr>
          <w:rFonts w:ascii="Times New Roman" w:hAnsi="Times New Roman" w:cs="Times New Roman"/>
          <w:sz w:val="24"/>
          <w:szCs w:val="24"/>
        </w:rPr>
        <w:t xml:space="preserve">se usó el 20% </w:t>
      </w:r>
      <w:r>
        <w:rPr>
          <w:rFonts w:ascii="Times New Roman" w:hAnsi="Times New Roman" w:cs="Times New Roman"/>
          <w:sz w:val="24"/>
          <w:szCs w:val="24"/>
        </w:rPr>
        <w:t xml:space="preserve">de los puntos </w:t>
      </w:r>
      <w:r w:rsidRPr="006428FB">
        <w:rPr>
          <w:rFonts w:ascii="Times New Roman" w:hAnsi="Times New Roman" w:cs="Times New Roman"/>
          <w:sz w:val="24"/>
          <w:szCs w:val="24"/>
        </w:rPr>
        <w:t xml:space="preserve">para </w:t>
      </w:r>
      <w:r>
        <w:rPr>
          <w:rFonts w:ascii="Times New Roman" w:hAnsi="Times New Roman" w:cs="Times New Roman"/>
          <w:sz w:val="24"/>
          <w:szCs w:val="24"/>
        </w:rPr>
        <w:t>su validación.</w:t>
      </w:r>
    </w:p>
    <w:p w14:paraId="591FBA9B" w14:textId="77777777" w:rsidR="002C2257" w:rsidRPr="006550DC" w:rsidRDefault="002C2257" w:rsidP="002C2257">
      <w:pPr>
        <w:ind w:firstLine="708"/>
        <w:rPr>
          <w:rFonts w:ascii="Times New Roman" w:hAnsi="Times New Roman" w:cs="Times New Roman"/>
          <w:sz w:val="24"/>
          <w:szCs w:val="24"/>
        </w:rPr>
      </w:pPr>
      <w:r w:rsidRPr="002A240A">
        <w:rPr>
          <w:rFonts w:ascii="Times New Roman" w:hAnsi="Times New Roman" w:cs="Times New Roman"/>
          <w:sz w:val="24"/>
          <w:szCs w:val="24"/>
        </w:rPr>
        <w:t>Los modelos generales de las temporadas reproductiva y no reproductiva se generaron utilizando la temperatura máxima y mínima provenientes de las coberturas mensuales, seleccionando sólo las coberturas de los meses que incluyeran los datos máximo y mínimo del periodo, así como un promedio de la precipitación mensual de cada temporada, siendo la pendiente y el CTI los mismos para ambas temporadas</w:t>
      </w:r>
      <w:r w:rsidRPr="006550DC">
        <w:rPr>
          <w:rFonts w:ascii="Times New Roman" w:hAnsi="Times New Roman" w:cs="Times New Roman"/>
          <w:sz w:val="24"/>
          <w:szCs w:val="24"/>
        </w:rPr>
        <w:t>. Estos modelos fueron proyectados (transferidos) al resto de los meses del año</w:t>
      </w:r>
      <w:r>
        <w:rPr>
          <w:rFonts w:ascii="Times New Roman" w:hAnsi="Times New Roman" w:cs="Times New Roman"/>
          <w:sz w:val="24"/>
          <w:szCs w:val="24"/>
        </w:rPr>
        <w:t>para evaluar la</w:t>
      </w:r>
      <w:r w:rsidRPr="006550DC">
        <w:rPr>
          <w:rFonts w:ascii="Times New Roman" w:hAnsi="Times New Roman" w:cs="Times New Roman"/>
          <w:sz w:val="24"/>
          <w:szCs w:val="24"/>
        </w:rPr>
        <w:t xml:space="preserve"> relación entre la distribución de la especie </w:t>
      </w:r>
      <w:r>
        <w:rPr>
          <w:rFonts w:ascii="Times New Roman" w:hAnsi="Times New Roman" w:cs="Times New Roman"/>
          <w:sz w:val="24"/>
          <w:szCs w:val="24"/>
        </w:rPr>
        <w:t xml:space="preserve">y entre </w:t>
      </w:r>
      <w:r w:rsidRPr="006550DC">
        <w:rPr>
          <w:rFonts w:ascii="Times New Roman" w:hAnsi="Times New Roman" w:cs="Times New Roman"/>
          <w:sz w:val="24"/>
          <w:szCs w:val="24"/>
        </w:rPr>
        <w:t xml:space="preserve">las temporadas reproductiva y no reproductiva. Las condiciones de la temporada reproductiva se proyectaron a los meses de junio a enero; mientras que las condiciones de la temporada de lluvias </w:t>
      </w:r>
      <w:r>
        <w:rPr>
          <w:rFonts w:ascii="Times New Roman" w:hAnsi="Times New Roman" w:cs="Times New Roman"/>
          <w:sz w:val="24"/>
          <w:szCs w:val="24"/>
        </w:rPr>
        <w:t xml:space="preserve">se proyectaron a los meses de febrero a mayo; la delimitación de las temporadas se basó en lo propuesto por </w:t>
      </w:r>
      <w:r w:rsidRPr="006550DC">
        <w:rPr>
          <w:rFonts w:ascii="Times New Roman" w:hAnsi="Times New Roman" w:cs="Times New Roman"/>
          <w:sz w:val="24"/>
          <w:szCs w:val="24"/>
        </w:rPr>
        <w:t>Renton (2009).</w:t>
      </w:r>
      <w:r>
        <w:rPr>
          <w:rFonts w:ascii="Times New Roman" w:hAnsi="Times New Roman" w:cs="Times New Roman"/>
          <w:sz w:val="24"/>
          <w:szCs w:val="24"/>
        </w:rPr>
        <w:t xml:space="preserve"> Finalmente, para observar si las condiciones ambientales de una temporada están presentes en las condiciones de la otra temporada, se hicieron proyecciones entre temporadas.</w:t>
      </w:r>
    </w:p>
    <w:p w14:paraId="3146A39A" w14:textId="77777777" w:rsidR="002C2257" w:rsidRPr="000F3853" w:rsidRDefault="002C2257" w:rsidP="002C2257">
      <w:pPr>
        <w:tabs>
          <w:tab w:val="left" w:pos="3396"/>
        </w:tabs>
        <w:ind w:firstLine="0"/>
        <w:rPr>
          <w:rFonts w:ascii="Times New Roman" w:hAnsi="Times New Roman" w:cs="Times New Roman"/>
          <w:sz w:val="24"/>
          <w:szCs w:val="24"/>
        </w:rPr>
      </w:pPr>
      <w:bookmarkStart w:id="3" w:name="_Toc422493134"/>
      <w:r w:rsidRPr="006550DC">
        <w:rPr>
          <w:rFonts w:ascii="Times New Roman" w:hAnsi="Times New Roman" w:cs="Times New Roman"/>
          <w:b/>
          <w:sz w:val="24"/>
          <w:szCs w:val="24"/>
        </w:rPr>
        <w:t>Análisis estadísticos</w:t>
      </w:r>
      <w:bookmarkEnd w:id="3"/>
      <w:r w:rsidRPr="000F3853">
        <w:rPr>
          <w:rFonts w:ascii="Times New Roman" w:hAnsi="Times New Roman" w:cs="Times New Roman"/>
          <w:b/>
          <w:sz w:val="24"/>
          <w:szCs w:val="24"/>
        </w:rPr>
        <w:t>:</w:t>
      </w:r>
      <w:r>
        <w:rPr>
          <w:rFonts w:ascii="Times New Roman" w:hAnsi="Times New Roman" w:cs="Times New Roman"/>
          <w:b/>
          <w:sz w:val="24"/>
          <w:szCs w:val="24"/>
        </w:rPr>
        <w:t xml:space="preserve"> </w:t>
      </w:r>
      <w:r w:rsidRPr="000F3853">
        <w:rPr>
          <w:rFonts w:ascii="Times New Roman" w:hAnsi="Times New Roman" w:cs="Times New Roman"/>
          <w:sz w:val="24"/>
          <w:szCs w:val="24"/>
        </w:rPr>
        <w:t xml:space="preserve">Para analizar la variación climática estacional se extrajeron </w:t>
      </w:r>
      <w:r>
        <w:rPr>
          <w:rFonts w:ascii="Times New Roman" w:hAnsi="Times New Roman" w:cs="Times New Roman"/>
          <w:sz w:val="24"/>
          <w:szCs w:val="24"/>
        </w:rPr>
        <w:t>2</w:t>
      </w:r>
      <w:r w:rsidRPr="000F3853">
        <w:rPr>
          <w:rFonts w:ascii="Times New Roman" w:hAnsi="Times New Roman" w:cs="Times New Roman"/>
          <w:sz w:val="24"/>
          <w:szCs w:val="24"/>
        </w:rPr>
        <w:t xml:space="preserve">0,000 puntos al azar </w:t>
      </w:r>
      <w:r>
        <w:rPr>
          <w:rFonts w:ascii="Times New Roman" w:hAnsi="Times New Roman" w:cs="Times New Roman"/>
          <w:sz w:val="24"/>
          <w:szCs w:val="24"/>
        </w:rPr>
        <w:t>de</w:t>
      </w:r>
      <w:r w:rsidRPr="000F3853">
        <w:rPr>
          <w:rFonts w:ascii="Times New Roman" w:hAnsi="Times New Roman" w:cs="Times New Roman"/>
          <w:sz w:val="24"/>
          <w:szCs w:val="24"/>
        </w:rPr>
        <w:t xml:space="preserve"> los mapas de distribución potencial de </w:t>
      </w:r>
      <w:r>
        <w:rPr>
          <w:rFonts w:ascii="Times New Roman" w:hAnsi="Times New Roman" w:cs="Times New Roman"/>
          <w:sz w:val="24"/>
          <w:szCs w:val="24"/>
        </w:rPr>
        <w:t xml:space="preserve">cada temporada; </w:t>
      </w:r>
      <w:r w:rsidRPr="000F3853">
        <w:rPr>
          <w:rFonts w:ascii="Times New Roman" w:hAnsi="Times New Roman" w:cs="Times New Roman"/>
          <w:sz w:val="24"/>
          <w:szCs w:val="24"/>
        </w:rPr>
        <w:t>y se obtuvieron sus valores para temperatura máxima y mínima</w:t>
      </w:r>
      <w:r>
        <w:rPr>
          <w:rFonts w:ascii="Times New Roman" w:hAnsi="Times New Roman" w:cs="Times New Roman"/>
          <w:sz w:val="24"/>
          <w:szCs w:val="24"/>
        </w:rPr>
        <w:t xml:space="preserve"> y </w:t>
      </w:r>
      <w:r w:rsidRPr="000F3853">
        <w:rPr>
          <w:rFonts w:ascii="Times New Roman" w:hAnsi="Times New Roman" w:cs="Times New Roman"/>
          <w:sz w:val="24"/>
          <w:szCs w:val="24"/>
        </w:rPr>
        <w:t>precipitación</w:t>
      </w:r>
      <w:r>
        <w:rPr>
          <w:rFonts w:ascii="Times New Roman" w:hAnsi="Times New Roman" w:cs="Times New Roman"/>
          <w:sz w:val="24"/>
          <w:szCs w:val="24"/>
        </w:rPr>
        <w:t xml:space="preserve">. </w:t>
      </w:r>
      <w:r w:rsidRPr="000F3853">
        <w:rPr>
          <w:rFonts w:ascii="Times New Roman" w:hAnsi="Times New Roman" w:cs="Times New Roman"/>
          <w:sz w:val="24"/>
          <w:szCs w:val="24"/>
        </w:rPr>
        <w:t>Para prob</w:t>
      </w:r>
      <w:r>
        <w:rPr>
          <w:rFonts w:ascii="Times New Roman" w:hAnsi="Times New Roman" w:cs="Times New Roman"/>
          <w:sz w:val="24"/>
          <w:szCs w:val="24"/>
        </w:rPr>
        <w:t>ar</w:t>
      </w:r>
      <w:r w:rsidRPr="000F3853">
        <w:rPr>
          <w:rFonts w:ascii="Times New Roman" w:hAnsi="Times New Roman" w:cs="Times New Roman"/>
          <w:sz w:val="24"/>
          <w:szCs w:val="24"/>
        </w:rPr>
        <w:t xml:space="preserve"> la normalidad de los datos </w:t>
      </w:r>
      <w:r>
        <w:rPr>
          <w:rFonts w:ascii="Times New Roman" w:hAnsi="Times New Roman" w:cs="Times New Roman"/>
          <w:sz w:val="24"/>
          <w:szCs w:val="24"/>
        </w:rPr>
        <w:t>se usó una</w:t>
      </w:r>
      <w:r w:rsidRPr="000F3853">
        <w:rPr>
          <w:rFonts w:ascii="Times New Roman" w:hAnsi="Times New Roman" w:cs="Times New Roman"/>
          <w:sz w:val="24"/>
          <w:szCs w:val="24"/>
        </w:rPr>
        <w:t xml:space="preserve"> prueba </w:t>
      </w:r>
      <w:r>
        <w:rPr>
          <w:rFonts w:ascii="Times New Roman" w:hAnsi="Times New Roman" w:cs="Times New Roman"/>
          <w:sz w:val="24"/>
          <w:szCs w:val="24"/>
        </w:rPr>
        <w:t xml:space="preserve">de </w:t>
      </w:r>
      <w:r w:rsidRPr="0067447A">
        <w:rPr>
          <w:rFonts w:ascii="Times New Roman" w:hAnsi="Times New Roman" w:cs="Times New Roman"/>
          <w:sz w:val="24"/>
          <w:szCs w:val="24"/>
        </w:rPr>
        <w:t>Kolmogorov-Smirnoff</w:t>
      </w:r>
      <w:r>
        <w:rPr>
          <w:rFonts w:ascii="Times New Roman" w:hAnsi="Times New Roman" w:cs="Times New Roman"/>
          <w:sz w:val="24"/>
          <w:szCs w:val="24"/>
        </w:rPr>
        <w:t xml:space="preserve"> y para </w:t>
      </w:r>
      <w:r w:rsidRPr="000F3853">
        <w:rPr>
          <w:rFonts w:ascii="Times New Roman" w:hAnsi="Times New Roman" w:cs="Times New Roman"/>
          <w:sz w:val="24"/>
          <w:szCs w:val="24"/>
        </w:rPr>
        <w:t xml:space="preserve">determinar si existían diferencias </w:t>
      </w:r>
      <w:r>
        <w:rPr>
          <w:rFonts w:ascii="Times New Roman" w:hAnsi="Times New Roman" w:cs="Times New Roman"/>
          <w:sz w:val="24"/>
          <w:szCs w:val="24"/>
        </w:rPr>
        <w:t>entre</w:t>
      </w:r>
      <w:r w:rsidRPr="000F3853">
        <w:rPr>
          <w:rFonts w:ascii="Times New Roman" w:hAnsi="Times New Roman" w:cs="Times New Roman"/>
          <w:sz w:val="24"/>
          <w:szCs w:val="24"/>
        </w:rPr>
        <w:t xml:space="preserve"> las variables de </w:t>
      </w:r>
      <w:r>
        <w:rPr>
          <w:rFonts w:ascii="Times New Roman" w:hAnsi="Times New Roman" w:cs="Times New Roman"/>
          <w:sz w:val="24"/>
          <w:szCs w:val="24"/>
        </w:rPr>
        <w:t>cada</w:t>
      </w:r>
      <w:r w:rsidRPr="000F3853">
        <w:rPr>
          <w:rFonts w:ascii="Times New Roman" w:hAnsi="Times New Roman" w:cs="Times New Roman"/>
          <w:sz w:val="24"/>
          <w:szCs w:val="24"/>
        </w:rPr>
        <w:t xml:space="preserve"> temporada se realizaron pruebas de T student.</w:t>
      </w:r>
    </w:p>
    <w:p w14:paraId="7DFF15DF" w14:textId="77777777" w:rsidR="002C2257" w:rsidRDefault="002C2257" w:rsidP="002C2257">
      <w:pPr>
        <w:tabs>
          <w:tab w:val="left" w:pos="3396"/>
        </w:tabs>
        <w:ind w:firstLine="0"/>
        <w:rPr>
          <w:rFonts w:ascii="Times New Roman" w:hAnsi="Times New Roman" w:cs="Times New Roman"/>
          <w:sz w:val="24"/>
          <w:szCs w:val="24"/>
        </w:rPr>
      </w:pPr>
      <w:r w:rsidRPr="006550DC">
        <w:rPr>
          <w:rFonts w:ascii="Times New Roman" w:hAnsi="Times New Roman" w:cs="Times New Roman"/>
          <w:b/>
          <w:sz w:val="24"/>
          <w:szCs w:val="24"/>
        </w:rPr>
        <w:t>Dieta y sitios de anidación:</w:t>
      </w:r>
      <w:r>
        <w:rPr>
          <w:rFonts w:ascii="Times New Roman" w:hAnsi="Times New Roman" w:cs="Times New Roman"/>
          <w:b/>
          <w:sz w:val="24"/>
          <w:szCs w:val="24"/>
        </w:rPr>
        <w:t xml:space="preserve"> </w:t>
      </w:r>
      <w:r w:rsidRPr="000F3853">
        <w:rPr>
          <w:rFonts w:ascii="Times New Roman" w:hAnsi="Times New Roman" w:cs="Times New Roman"/>
          <w:sz w:val="24"/>
          <w:szCs w:val="24"/>
        </w:rPr>
        <w:t xml:space="preserve">Debido a que </w:t>
      </w:r>
      <w:r>
        <w:rPr>
          <w:rFonts w:ascii="Times New Roman" w:hAnsi="Times New Roman" w:cs="Times New Roman"/>
          <w:sz w:val="24"/>
          <w:szCs w:val="24"/>
        </w:rPr>
        <w:t xml:space="preserve">en escalas finas, </w:t>
      </w:r>
      <w:r w:rsidRPr="000F3853">
        <w:rPr>
          <w:rFonts w:ascii="Times New Roman" w:hAnsi="Times New Roman" w:cs="Times New Roman"/>
          <w:sz w:val="24"/>
          <w:szCs w:val="24"/>
        </w:rPr>
        <w:t>algunos aspectos bióticos</w:t>
      </w:r>
      <w:r>
        <w:rPr>
          <w:rFonts w:ascii="Times New Roman" w:hAnsi="Times New Roman" w:cs="Times New Roman"/>
          <w:sz w:val="24"/>
          <w:szCs w:val="24"/>
        </w:rPr>
        <w:t xml:space="preserve"> suelen influir en la distribución de las especies, p</w:t>
      </w:r>
      <w:r w:rsidRPr="000F3853">
        <w:rPr>
          <w:rFonts w:ascii="Times New Roman" w:hAnsi="Times New Roman" w:cs="Times New Roman"/>
          <w:sz w:val="24"/>
          <w:szCs w:val="24"/>
        </w:rPr>
        <w:t>ara la temporada reproductiva</w:t>
      </w:r>
      <w:r>
        <w:rPr>
          <w:rFonts w:ascii="Times New Roman" w:hAnsi="Times New Roman" w:cs="Times New Roman"/>
          <w:sz w:val="24"/>
          <w:szCs w:val="24"/>
        </w:rPr>
        <w:t xml:space="preserve"> </w:t>
      </w:r>
      <w:r w:rsidRPr="000F3853">
        <w:rPr>
          <w:rFonts w:ascii="Times New Roman" w:hAnsi="Times New Roman" w:cs="Times New Roman"/>
          <w:sz w:val="24"/>
          <w:szCs w:val="24"/>
        </w:rPr>
        <w:t>se consider</w:t>
      </w:r>
      <w:r>
        <w:rPr>
          <w:rFonts w:ascii="Times New Roman" w:hAnsi="Times New Roman" w:cs="Times New Roman"/>
          <w:sz w:val="24"/>
          <w:szCs w:val="24"/>
        </w:rPr>
        <w:t xml:space="preserve">ó a </w:t>
      </w:r>
      <w:r w:rsidRPr="000F3853">
        <w:rPr>
          <w:rFonts w:ascii="Times New Roman" w:hAnsi="Times New Roman" w:cs="Times New Roman"/>
          <w:sz w:val="24"/>
          <w:szCs w:val="24"/>
        </w:rPr>
        <w:t>la presencia de las especies vegetales que el loro corona lila consume</w:t>
      </w:r>
      <w:r>
        <w:rPr>
          <w:rFonts w:ascii="Times New Roman" w:hAnsi="Times New Roman" w:cs="Times New Roman"/>
          <w:sz w:val="24"/>
          <w:szCs w:val="24"/>
        </w:rPr>
        <w:t xml:space="preserve">, </w:t>
      </w:r>
      <w:r w:rsidRPr="000F3853">
        <w:rPr>
          <w:rFonts w:ascii="Times New Roman" w:hAnsi="Times New Roman" w:cs="Times New Roman"/>
          <w:sz w:val="24"/>
          <w:szCs w:val="24"/>
        </w:rPr>
        <w:t>o</w:t>
      </w:r>
      <w:r>
        <w:rPr>
          <w:rFonts w:ascii="Times New Roman" w:hAnsi="Times New Roman" w:cs="Times New Roman"/>
          <w:sz w:val="24"/>
          <w:szCs w:val="24"/>
        </w:rPr>
        <w:t xml:space="preserve"> </w:t>
      </w:r>
      <w:r w:rsidRPr="000F3853">
        <w:rPr>
          <w:rFonts w:ascii="Times New Roman" w:hAnsi="Times New Roman" w:cs="Times New Roman"/>
          <w:sz w:val="24"/>
          <w:szCs w:val="24"/>
        </w:rPr>
        <w:t>bien aquellas</w:t>
      </w:r>
      <w:r>
        <w:rPr>
          <w:rFonts w:ascii="Times New Roman" w:hAnsi="Times New Roman" w:cs="Times New Roman"/>
          <w:sz w:val="24"/>
          <w:szCs w:val="24"/>
        </w:rPr>
        <w:t xml:space="preserve"> en </w:t>
      </w:r>
      <w:r w:rsidRPr="000F3853">
        <w:rPr>
          <w:rFonts w:ascii="Times New Roman" w:hAnsi="Times New Roman" w:cs="Times New Roman"/>
          <w:sz w:val="24"/>
          <w:szCs w:val="24"/>
        </w:rPr>
        <w:t>donde anida</w:t>
      </w:r>
      <w:r>
        <w:rPr>
          <w:rFonts w:ascii="Times New Roman" w:hAnsi="Times New Roman" w:cs="Times New Roman"/>
          <w:sz w:val="24"/>
          <w:szCs w:val="24"/>
        </w:rPr>
        <w:t>. P</w:t>
      </w:r>
      <w:r w:rsidRPr="000F3853">
        <w:rPr>
          <w:rFonts w:ascii="Times New Roman" w:hAnsi="Times New Roman" w:cs="Times New Roman"/>
          <w:sz w:val="24"/>
          <w:szCs w:val="24"/>
        </w:rPr>
        <w:t>ara esto se tomaron en cuenta los modelos de distribución elaborados por Pennington y Sarukhán (2005), para algunas de las especies que componen la</w:t>
      </w:r>
      <w:r>
        <w:rPr>
          <w:rFonts w:ascii="Times New Roman" w:hAnsi="Times New Roman" w:cs="Times New Roman"/>
          <w:sz w:val="24"/>
          <w:szCs w:val="24"/>
        </w:rPr>
        <w:t xml:space="preserve"> </w:t>
      </w:r>
      <w:r w:rsidRPr="000F3853">
        <w:rPr>
          <w:rFonts w:ascii="Times New Roman" w:hAnsi="Times New Roman" w:cs="Times New Roman"/>
          <w:sz w:val="24"/>
          <w:szCs w:val="24"/>
        </w:rPr>
        <w:t xml:space="preserve">dieta de </w:t>
      </w:r>
      <w:r w:rsidRPr="000F3853">
        <w:rPr>
          <w:rFonts w:ascii="Times New Roman" w:hAnsi="Times New Roman" w:cs="Times New Roman"/>
          <w:i/>
          <w:sz w:val="24"/>
          <w:szCs w:val="24"/>
        </w:rPr>
        <w:t>A. finschi</w:t>
      </w:r>
      <w:r>
        <w:rPr>
          <w:rFonts w:ascii="Times New Roman" w:hAnsi="Times New Roman" w:cs="Times New Roman"/>
          <w:sz w:val="24"/>
          <w:szCs w:val="24"/>
        </w:rPr>
        <w:t xml:space="preserve">, como son </w:t>
      </w:r>
      <w:r w:rsidRPr="000F3853">
        <w:rPr>
          <w:rFonts w:ascii="Times New Roman" w:hAnsi="Times New Roman" w:cs="Times New Roman"/>
          <w:i/>
          <w:sz w:val="24"/>
          <w:szCs w:val="24"/>
        </w:rPr>
        <w:t>Astronium graveolens, Brosimum alicastrum, Caesalpinia eriostachys y Caelenodendron mexicanum</w:t>
      </w:r>
      <w:r w:rsidRPr="000F3853">
        <w:rPr>
          <w:rFonts w:ascii="Times New Roman" w:hAnsi="Times New Roman" w:cs="Times New Roman"/>
          <w:sz w:val="24"/>
          <w:szCs w:val="24"/>
        </w:rPr>
        <w:t xml:space="preserve"> y que de acuerdo a Renton</w:t>
      </w:r>
      <w:r>
        <w:rPr>
          <w:rFonts w:ascii="Times New Roman" w:hAnsi="Times New Roman" w:cs="Times New Roman"/>
          <w:sz w:val="24"/>
          <w:szCs w:val="24"/>
        </w:rPr>
        <w:t xml:space="preserve"> </w:t>
      </w:r>
      <w:r w:rsidRPr="000F3853">
        <w:rPr>
          <w:rFonts w:ascii="Times New Roman" w:hAnsi="Times New Roman" w:cs="Times New Roman"/>
          <w:sz w:val="24"/>
          <w:szCs w:val="24"/>
        </w:rPr>
        <w:t>(2001)</w:t>
      </w:r>
      <w:r>
        <w:rPr>
          <w:rFonts w:ascii="Times New Roman" w:hAnsi="Times New Roman" w:cs="Times New Roman"/>
          <w:sz w:val="24"/>
          <w:szCs w:val="24"/>
        </w:rPr>
        <w:t xml:space="preserve">, </w:t>
      </w:r>
      <w:r w:rsidRPr="000F3853">
        <w:rPr>
          <w:rFonts w:ascii="Times New Roman" w:hAnsi="Times New Roman" w:cs="Times New Roman"/>
          <w:sz w:val="24"/>
          <w:szCs w:val="24"/>
        </w:rPr>
        <w:t>representan más del 80% de los recursos alimenticios utilizados. Del mismo modo, se incluyeron</w:t>
      </w:r>
      <w:r>
        <w:rPr>
          <w:rFonts w:ascii="Times New Roman" w:hAnsi="Times New Roman" w:cs="Times New Roman"/>
          <w:sz w:val="24"/>
          <w:szCs w:val="24"/>
        </w:rPr>
        <w:t xml:space="preserve"> </w:t>
      </w:r>
      <w:r w:rsidRPr="000F3853">
        <w:rPr>
          <w:rFonts w:ascii="Times New Roman" w:hAnsi="Times New Roman" w:cs="Times New Roman"/>
          <w:sz w:val="24"/>
          <w:szCs w:val="24"/>
        </w:rPr>
        <w:t>las</w:t>
      </w:r>
      <w:r>
        <w:rPr>
          <w:rFonts w:ascii="Times New Roman" w:hAnsi="Times New Roman" w:cs="Times New Roman"/>
          <w:sz w:val="24"/>
          <w:szCs w:val="24"/>
        </w:rPr>
        <w:t xml:space="preserve"> </w:t>
      </w:r>
      <w:r w:rsidRPr="000F3853">
        <w:rPr>
          <w:rFonts w:ascii="Times New Roman" w:hAnsi="Times New Roman" w:cs="Times New Roman"/>
          <w:sz w:val="24"/>
          <w:szCs w:val="24"/>
        </w:rPr>
        <w:t>especies más usadas como sitio</w:t>
      </w:r>
      <w:r>
        <w:rPr>
          <w:rFonts w:ascii="Times New Roman" w:hAnsi="Times New Roman" w:cs="Times New Roman"/>
          <w:sz w:val="24"/>
          <w:szCs w:val="24"/>
        </w:rPr>
        <w:t>s</w:t>
      </w:r>
      <w:r w:rsidRPr="000F3853">
        <w:rPr>
          <w:rFonts w:ascii="Times New Roman" w:hAnsi="Times New Roman" w:cs="Times New Roman"/>
          <w:sz w:val="24"/>
          <w:szCs w:val="24"/>
        </w:rPr>
        <w:t xml:space="preserve"> de anidación de acuerdo a Orte</w:t>
      </w:r>
      <w:r>
        <w:rPr>
          <w:rFonts w:ascii="Times New Roman" w:hAnsi="Times New Roman" w:cs="Times New Roman"/>
          <w:sz w:val="24"/>
          <w:szCs w:val="24"/>
        </w:rPr>
        <w:t>ga-Rodríguez y Monterrubio-Rico</w:t>
      </w:r>
      <w:r w:rsidRPr="000F3853">
        <w:rPr>
          <w:rFonts w:ascii="Times New Roman" w:hAnsi="Times New Roman" w:cs="Times New Roman"/>
          <w:sz w:val="24"/>
          <w:szCs w:val="24"/>
        </w:rPr>
        <w:t xml:space="preserve"> (2008)</w:t>
      </w:r>
      <w:r>
        <w:rPr>
          <w:rFonts w:ascii="Times New Roman" w:hAnsi="Times New Roman" w:cs="Times New Roman"/>
          <w:sz w:val="24"/>
          <w:szCs w:val="24"/>
        </w:rPr>
        <w:t xml:space="preserve">, como es el caso de </w:t>
      </w:r>
      <w:r w:rsidRPr="000F3853">
        <w:rPr>
          <w:rFonts w:ascii="Times New Roman" w:hAnsi="Times New Roman" w:cs="Times New Roman"/>
          <w:i/>
          <w:sz w:val="24"/>
          <w:szCs w:val="24"/>
        </w:rPr>
        <w:t xml:space="preserve">Astronium graveolens, Brosimum alicastrum, Caelenodendron mexicanum </w:t>
      </w:r>
      <w:r w:rsidRPr="000F3853">
        <w:rPr>
          <w:rFonts w:ascii="Times New Roman" w:hAnsi="Times New Roman" w:cs="Times New Roman"/>
          <w:sz w:val="24"/>
          <w:szCs w:val="24"/>
        </w:rPr>
        <w:t>y</w:t>
      </w:r>
      <w:r w:rsidRPr="000F3853">
        <w:rPr>
          <w:rFonts w:ascii="Times New Roman" w:hAnsi="Times New Roman" w:cs="Times New Roman"/>
          <w:i/>
          <w:sz w:val="24"/>
          <w:szCs w:val="24"/>
        </w:rPr>
        <w:t xml:space="preserve"> Enterolobium cyclocarpum</w:t>
      </w:r>
      <w:r w:rsidRPr="000F3853">
        <w:rPr>
          <w:rFonts w:ascii="Times New Roman" w:hAnsi="Times New Roman" w:cs="Times New Roman"/>
          <w:sz w:val="24"/>
          <w:szCs w:val="24"/>
        </w:rPr>
        <w:t xml:space="preserve">. Con lo anterior se generaron mapas de distribución </w:t>
      </w:r>
      <w:r>
        <w:rPr>
          <w:rFonts w:ascii="Times New Roman" w:hAnsi="Times New Roman" w:cs="Times New Roman"/>
          <w:sz w:val="24"/>
          <w:szCs w:val="24"/>
        </w:rPr>
        <w:t xml:space="preserve">de las especies vegetales antes mencionadas, </w:t>
      </w:r>
      <w:r w:rsidRPr="000F3853">
        <w:rPr>
          <w:rFonts w:ascii="Times New Roman" w:hAnsi="Times New Roman" w:cs="Times New Roman"/>
          <w:sz w:val="24"/>
          <w:szCs w:val="24"/>
        </w:rPr>
        <w:t xml:space="preserve">y </w:t>
      </w:r>
      <w:r>
        <w:rPr>
          <w:rFonts w:ascii="Times New Roman" w:hAnsi="Times New Roman" w:cs="Times New Roman"/>
          <w:sz w:val="24"/>
          <w:szCs w:val="24"/>
        </w:rPr>
        <w:t xml:space="preserve">a través de una suma, se identificaron aquellas áreas donde existe una mayor coincidencia de presencia potencial </w:t>
      </w:r>
      <w:r w:rsidRPr="000F3853">
        <w:rPr>
          <w:rFonts w:ascii="Times New Roman" w:hAnsi="Times New Roman" w:cs="Times New Roman"/>
          <w:sz w:val="24"/>
          <w:szCs w:val="24"/>
        </w:rPr>
        <w:t>de recursos</w:t>
      </w:r>
      <w:r>
        <w:rPr>
          <w:rFonts w:ascii="Times New Roman" w:hAnsi="Times New Roman" w:cs="Times New Roman"/>
          <w:sz w:val="24"/>
          <w:szCs w:val="24"/>
        </w:rPr>
        <w:t xml:space="preserve">, que de acuerdo a </w:t>
      </w:r>
      <w:r w:rsidRPr="004F0B62">
        <w:rPr>
          <w:rFonts w:ascii="Times New Roman" w:hAnsi="Times New Roman" w:cs="Times New Roman"/>
          <w:sz w:val="24"/>
          <w:szCs w:val="24"/>
        </w:rPr>
        <w:t>Renton y Salinas-Melgoza 1999,</w:t>
      </w:r>
      <w:r>
        <w:rPr>
          <w:rFonts w:ascii="Times New Roman" w:hAnsi="Times New Roman" w:cs="Times New Roman"/>
          <w:sz w:val="24"/>
          <w:szCs w:val="24"/>
        </w:rPr>
        <w:t xml:space="preserve"> Renton (2001), </w:t>
      </w:r>
      <w:r w:rsidRPr="000F3853">
        <w:rPr>
          <w:rFonts w:ascii="Times New Roman" w:hAnsi="Times New Roman" w:cs="Times New Roman"/>
          <w:sz w:val="24"/>
          <w:szCs w:val="24"/>
        </w:rPr>
        <w:t>Orte</w:t>
      </w:r>
      <w:r>
        <w:rPr>
          <w:rFonts w:ascii="Times New Roman" w:hAnsi="Times New Roman" w:cs="Times New Roman"/>
          <w:sz w:val="24"/>
          <w:szCs w:val="24"/>
        </w:rPr>
        <w:t>ga-Rodríguez y Monterrubio-Rico (</w:t>
      </w:r>
      <w:r w:rsidRPr="000F3853">
        <w:rPr>
          <w:rFonts w:ascii="Times New Roman" w:hAnsi="Times New Roman" w:cs="Times New Roman"/>
          <w:sz w:val="24"/>
          <w:szCs w:val="24"/>
        </w:rPr>
        <w:t>2008</w:t>
      </w:r>
      <w:r>
        <w:rPr>
          <w:rFonts w:ascii="Times New Roman" w:hAnsi="Times New Roman" w:cs="Times New Roman"/>
          <w:sz w:val="24"/>
          <w:szCs w:val="24"/>
        </w:rPr>
        <w:t xml:space="preserve">) y </w:t>
      </w:r>
      <w:r w:rsidRPr="00CD7D80">
        <w:rPr>
          <w:rFonts w:ascii="Times New Roman" w:hAnsi="Times New Roman" w:cs="Times New Roman"/>
          <w:sz w:val="24"/>
          <w:szCs w:val="24"/>
        </w:rPr>
        <w:t xml:space="preserve">Monterrubio-Rico et al. </w:t>
      </w:r>
      <w:r>
        <w:rPr>
          <w:rFonts w:ascii="Times New Roman" w:hAnsi="Times New Roman" w:cs="Times New Roman"/>
          <w:sz w:val="24"/>
          <w:szCs w:val="24"/>
        </w:rPr>
        <w:t>(</w:t>
      </w:r>
      <w:r w:rsidRPr="00CD7D80">
        <w:rPr>
          <w:rFonts w:ascii="Times New Roman" w:hAnsi="Times New Roman" w:cs="Times New Roman"/>
          <w:sz w:val="24"/>
          <w:szCs w:val="24"/>
        </w:rPr>
        <w:t>2009</w:t>
      </w:r>
      <w:r>
        <w:rPr>
          <w:rFonts w:ascii="Times New Roman" w:hAnsi="Times New Roman" w:cs="Times New Roman"/>
          <w:sz w:val="24"/>
          <w:szCs w:val="24"/>
        </w:rPr>
        <w:t xml:space="preserve">), son importantes durante la etapa reproductiva. A pesar de que </w:t>
      </w:r>
      <w:r w:rsidRPr="006550DC">
        <w:rPr>
          <w:rFonts w:ascii="Times New Roman" w:hAnsi="Times New Roman" w:cs="Times New Roman"/>
          <w:sz w:val="24"/>
          <w:szCs w:val="24"/>
        </w:rPr>
        <w:t xml:space="preserve">las especies vegetales extienden su distribución </w:t>
      </w:r>
      <w:r>
        <w:rPr>
          <w:rFonts w:ascii="Times New Roman" w:hAnsi="Times New Roman" w:cs="Times New Roman"/>
          <w:sz w:val="24"/>
          <w:szCs w:val="24"/>
        </w:rPr>
        <w:t>en otras regiones del país, como la Sierra Madre Oriental y la planicie del Golfo, cabe mencionar que el análisis sólo se realizó para el oeste de México, donde se distribuye el loro corona lila.</w:t>
      </w:r>
      <w:bookmarkStart w:id="4" w:name="_Toc422493136"/>
    </w:p>
    <w:p w14:paraId="3DF6FE6D" w14:textId="77777777" w:rsidR="002C2257" w:rsidRDefault="002C2257" w:rsidP="002C2257">
      <w:pPr>
        <w:ind w:firstLine="0"/>
        <w:jc w:val="center"/>
        <w:rPr>
          <w:rFonts w:ascii="Times New Roman" w:hAnsi="Times New Roman" w:cs="Times New Roman"/>
          <w:sz w:val="24"/>
          <w:szCs w:val="24"/>
        </w:rPr>
      </w:pPr>
    </w:p>
    <w:p w14:paraId="478B8386" w14:textId="77777777" w:rsidR="002C2257" w:rsidRDefault="002C2257" w:rsidP="002C2257">
      <w:pPr>
        <w:ind w:firstLine="0"/>
        <w:jc w:val="center"/>
        <w:rPr>
          <w:rFonts w:ascii="Times New Roman" w:hAnsi="Times New Roman" w:cs="Times New Roman"/>
          <w:sz w:val="24"/>
          <w:szCs w:val="24"/>
        </w:rPr>
      </w:pPr>
    </w:p>
    <w:p w14:paraId="4E41830C" w14:textId="77777777" w:rsidR="002C2257" w:rsidRPr="006550DC" w:rsidRDefault="002C2257" w:rsidP="002C2257">
      <w:pPr>
        <w:ind w:firstLine="0"/>
        <w:jc w:val="center"/>
        <w:rPr>
          <w:rFonts w:ascii="Times New Roman" w:hAnsi="Times New Roman" w:cs="Times New Roman"/>
          <w:b/>
          <w:sz w:val="24"/>
          <w:szCs w:val="24"/>
        </w:rPr>
      </w:pPr>
      <w:r w:rsidRPr="006550DC">
        <w:rPr>
          <w:rFonts w:ascii="Times New Roman" w:hAnsi="Times New Roman" w:cs="Times New Roman"/>
          <w:sz w:val="24"/>
          <w:szCs w:val="24"/>
        </w:rPr>
        <w:t>RESULTADOS</w:t>
      </w:r>
      <w:bookmarkStart w:id="5" w:name="_Toc422493137"/>
      <w:bookmarkEnd w:id="4"/>
    </w:p>
    <w:bookmarkEnd w:id="5"/>
    <w:p w14:paraId="424D3542" w14:textId="77777777" w:rsidR="002C2257" w:rsidRPr="006550DC" w:rsidRDefault="002C2257" w:rsidP="002C2257">
      <w:pPr>
        <w:ind w:firstLine="0"/>
        <w:rPr>
          <w:rFonts w:ascii="Times New Roman" w:hAnsi="Times New Roman" w:cs="Times New Roman"/>
          <w:sz w:val="24"/>
          <w:szCs w:val="24"/>
        </w:rPr>
      </w:pPr>
      <w:r>
        <w:rPr>
          <w:rFonts w:ascii="Times New Roman" w:hAnsi="Times New Roman" w:cs="Times New Roman"/>
          <w:b/>
          <w:sz w:val="24"/>
          <w:szCs w:val="24"/>
        </w:rPr>
        <w:t>Distribución geográfica potencial</w:t>
      </w:r>
      <w:r w:rsidRPr="006550DC">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la</w:t>
      </w:r>
      <w:r w:rsidRPr="00E86FF9">
        <w:rPr>
          <w:rFonts w:ascii="Times New Roman" w:hAnsi="Times New Roman" w:cs="Times New Roman"/>
          <w:sz w:val="24"/>
          <w:szCs w:val="24"/>
        </w:rPr>
        <w:t xml:space="preserve"> distribución potencia</w:t>
      </w:r>
      <w:r>
        <w:rPr>
          <w:rFonts w:ascii="Times New Roman" w:hAnsi="Times New Roman" w:cs="Times New Roman"/>
          <w:sz w:val="24"/>
          <w:szCs w:val="24"/>
        </w:rPr>
        <w:t xml:space="preserve">l del loro corona lila, generada con </w:t>
      </w:r>
      <w:r w:rsidRPr="00E86FF9">
        <w:rPr>
          <w:rFonts w:ascii="Times New Roman" w:hAnsi="Times New Roman" w:cs="Times New Roman"/>
          <w:sz w:val="24"/>
          <w:szCs w:val="24"/>
        </w:rPr>
        <w:t xml:space="preserve">base </w:t>
      </w:r>
      <w:r>
        <w:rPr>
          <w:rFonts w:ascii="Times New Roman" w:hAnsi="Times New Roman" w:cs="Times New Roman"/>
          <w:sz w:val="24"/>
          <w:szCs w:val="24"/>
        </w:rPr>
        <w:t xml:space="preserve">en </w:t>
      </w:r>
      <w:r w:rsidRPr="00E86FF9">
        <w:rPr>
          <w:rFonts w:ascii="Times New Roman" w:hAnsi="Times New Roman" w:cs="Times New Roman"/>
          <w:sz w:val="24"/>
          <w:szCs w:val="24"/>
        </w:rPr>
        <w:t xml:space="preserve">las condiciones climáticas </w:t>
      </w:r>
      <w:r>
        <w:rPr>
          <w:rFonts w:ascii="Times New Roman" w:hAnsi="Times New Roman" w:cs="Times New Roman"/>
          <w:sz w:val="24"/>
          <w:szCs w:val="24"/>
        </w:rPr>
        <w:t>mensuales</w:t>
      </w:r>
      <w:r w:rsidRPr="00E86FF9">
        <w:rPr>
          <w:rFonts w:ascii="Times New Roman" w:hAnsi="Times New Roman" w:cs="Times New Roman"/>
          <w:sz w:val="24"/>
          <w:szCs w:val="24"/>
        </w:rPr>
        <w:t xml:space="preserve">, </w:t>
      </w:r>
      <w:r>
        <w:rPr>
          <w:rFonts w:ascii="Times New Roman" w:hAnsi="Times New Roman" w:cs="Times New Roman"/>
          <w:sz w:val="24"/>
          <w:szCs w:val="24"/>
        </w:rPr>
        <w:t>muestra</w:t>
      </w:r>
      <w:r w:rsidRPr="00E86FF9">
        <w:rPr>
          <w:rFonts w:ascii="Times New Roman" w:hAnsi="Times New Roman" w:cs="Times New Roman"/>
          <w:sz w:val="24"/>
          <w:szCs w:val="24"/>
        </w:rPr>
        <w:t xml:space="preserve"> que la región central del rango de distribución de la especie desde el sur de </w:t>
      </w:r>
      <w:r>
        <w:rPr>
          <w:rFonts w:ascii="Times New Roman" w:hAnsi="Times New Roman" w:cs="Times New Roman"/>
          <w:sz w:val="24"/>
          <w:szCs w:val="24"/>
        </w:rPr>
        <w:t>Sinaloa hasta Michoacán presenta</w:t>
      </w:r>
      <w:r w:rsidRPr="00E86FF9">
        <w:rPr>
          <w:rFonts w:ascii="Times New Roman" w:hAnsi="Times New Roman" w:cs="Times New Roman"/>
          <w:sz w:val="24"/>
          <w:szCs w:val="24"/>
        </w:rPr>
        <w:t xml:space="preserve"> condiciones </w:t>
      </w:r>
      <w:r>
        <w:rPr>
          <w:rFonts w:ascii="Times New Roman" w:hAnsi="Times New Roman" w:cs="Times New Roman"/>
          <w:sz w:val="24"/>
          <w:szCs w:val="24"/>
        </w:rPr>
        <w:t>ambientales</w:t>
      </w:r>
      <w:r w:rsidRPr="00E86FF9">
        <w:rPr>
          <w:rFonts w:ascii="Times New Roman" w:hAnsi="Times New Roman" w:cs="Times New Roman"/>
          <w:sz w:val="24"/>
          <w:szCs w:val="24"/>
        </w:rPr>
        <w:t xml:space="preserve"> adecuadas para la presencia de la especie durante gran parte del año (Fig</w:t>
      </w:r>
      <w:r>
        <w:rPr>
          <w:rFonts w:ascii="Times New Roman" w:hAnsi="Times New Roman" w:cs="Times New Roman"/>
          <w:sz w:val="24"/>
          <w:szCs w:val="24"/>
        </w:rPr>
        <w:t>s.</w:t>
      </w:r>
      <w:r w:rsidRPr="00E86FF9">
        <w:rPr>
          <w:rFonts w:ascii="Times New Roman" w:hAnsi="Times New Roman" w:cs="Times New Roman"/>
          <w:sz w:val="24"/>
          <w:szCs w:val="24"/>
        </w:rPr>
        <w:t xml:space="preserve"> 1</w:t>
      </w:r>
      <w:r>
        <w:rPr>
          <w:rFonts w:ascii="Times New Roman" w:hAnsi="Times New Roman" w:cs="Times New Roman"/>
          <w:sz w:val="24"/>
          <w:szCs w:val="24"/>
        </w:rPr>
        <w:t xml:space="preserve"> y 2A</w:t>
      </w:r>
      <w:r w:rsidRPr="00E86FF9">
        <w:rPr>
          <w:rFonts w:ascii="Times New Roman" w:hAnsi="Times New Roman" w:cs="Times New Roman"/>
          <w:sz w:val="24"/>
          <w:szCs w:val="24"/>
        </w:rPr>
        <w:t>)</w:t>
      </w:r>
      <w:r>
        <w:rPr>
          <w:rFonts w:ascii="Times New Roman" w:hAnsi="Times New Roman" w:cs="Times New Roman"/>
          <w:sz w:val="24"/>
          <w:szCs w:val="24"/>
        </w:rPr>
        <w:t xml:space="preserve">. </w:t>
      </w:r>
      <w:r w:rsidRPr="008D0F1F">
        <w:rPr>
          <w:rFonts w:ascii="Times New Roman" w:hAnsi="Times New Roman" w:cs="Times New Roman"/>
          <w:sz w:val="24"/>
          <w:szCs w:val="24"/>
        </w:rPr>
        <w:t>Los valores de la ROC fueron en promedio de 0.83, con un rango de 0.63 a 0.98 y una desviación estándar de 0.1.</w:t>
      </w:r>
    </w:p>
    <w:p w14:paraId="2700ECE9" w14:textId="77777777" w:rsidR="002C2257" w:rsidRPr="000E5F0B" w:rsidRDefault="002C2257" w:rsidP="002C2257">
      <w:pPr>
        <w:ind w:firstLine="708"/>
        <w:rPr>
          <w:rFonts w:ascii="Times New Roman" w:hAnsi="Times New Roman" w:cs="Times New Roman"/>
          <w:sz w:val="24"/>
          <w:szCs w:val="24"/>
        </w:rPr>
      </w:pPr>
      <w:r w:rsidRPr="000E5F0B">
        <w:rPr>
          <w:rFonts w:ascii="Times New Roman" w:hAnsi="Times New Roman" w:cs="Times New Roman"/>
          <w:sz w:val="24"/>
          <w:szCs w:val="24"/>
        </w:rPr>
        <w:t xml:space="preserve">La distribución potencial de la especie se presenta de manera fragmentada en los estados de Guerrero y Oaxaca, donde existen condiciones para la especie durante uno o dos meses del año (1). </w:t>
      </w:r>
      <w:r w:rsidRPr="00E77590">
        <w:rPr>
          <w:rFonts w:ascii="Times New Roman" w:hAnsi="Times New Roman" w:cs="Times New Roman"/>
          <w:color w:val="000000"/>
          <w:sz w:val="24"/>
          <w:szCs w:val="24"/>
        </w:rPr>
        <w:t xml:space="preserve">El modelado demostró condiciones climáticas adecuadas para la especie durante la mayor parte del año en </w:t>
      </w:r>
      <w:r w:rsidRPr="000E5F0B">
        <w:rPr>
          <w:rFonts w:ascii="Times New Roman" w:hAnsi="Times New Roman" w:cs="Times New Roman"/>
          <w:color w:val="000000"/>
          <w:sz w:val="24"/>
          <w:szCs w:val="24"/>
        </w:rPr>
        <w:t>el noroeste de Chiapas (Fig. 1);</w:t>
      </w:r>
      <w:r w:rsidRPr="00E77590">
        <w:rPr>
          <w:rFonts w:ascii="Times New Roman" w:hAnsi="Times New Roman" w:cs="Times New Roman"/>
          <w:color w:val="000000"/>
          <w:sz w:val="24"/>
          <w:szCs w:val="24"/>
        </w:rPr>
        <w:t xml:space="preserve"> sin embargo</w:t>
      </w:r>
      <w:r w:rsidRPr="000E5F0B">
        <w:rPr>
          <w:rFonts w:ascii="Times New Roman" w:hAnsi="Times New Roman" w:cs="Times New Roman"/>
          <w:color w:val="000000"/>
          <w:sz w:val="24"/>
          <w:szCs w:val="24"/>
        </w:rPr>
        <w:t>,</w:t>
      </w:r>
      <w:r w:rsidRPr="00E77590">
        <w:rPr>
          <w:rFonts w:ascii="Times New Roman" w:hAnsi="Times New Roman" w:cs="Times New Roman"/>
          <w:color w:val="000000"/>
          <w:sz w:val="24"/>
          <w:szCs w:val="24"/>
        </w:rPr>
        <w:t xml:space="preserve"> la especie no ha sido registrada en dicha zona.</w:t>
      </w:r>
    </w:p>
    <w:p w14:paraId="698D6881" w14:textId="77777777" w:rsidR="002C2257" w:rsidRPr="006550DC" w:rsidRDefault="002C2257" w:rsidP="002C2257">
      <w:pPr>
        <w:ind w:firstLine="708"/>
        <w:rPr>
          <w:rFonts w:ascii="Times New Roman" w:hAnsi="Times New Roman" w:cs="Times New Roman"/>
          <w:sz w:val="24"/>
          <w:szCs w:val="24"/>
        </w:rPr>
      </w:pPr>
      <w:r w:rsidRPr="006550DC">
        <w:rPr>
          <w:rFonts w:ascii="Times New Roman" w:hAnsi="Times New Roman" w:cs="Times New Roman"/>
          <w:sz w:val="24"/>
          <w:szCs w:val="24"/>
        </w:rPr>
        <w:t xml:space="preserve">Durante la temporada reproductiva, se predijo una mayor área potencial hacia el centro del rango de la especie, en los estados de Sinaloa, Jalisco, Michoacán, Colima y Nayarit; así como una reducción y fragmentación notables en el sur, principalmente en el estado de Oaxaca (Fig. </w:t>
      </w:r>
      <w:r>
        <w:rPr>
          <w:rFonts w:ascii="Times New Roman" w:hAnsi="Times New Roman" w:cs="Times New Roman"/>
          <w:sz w:val="24"/>
          <w:szCs w:val="24"/>
        </w:rPr>
        <w:t>2</w:t>
      </w:r>
      <w:r w:rsidRPr="006550DC">
        <w:rPr>
          <w:rFonts w:ascii="Times New Roman" w:hAnsi="Times New Roman" w:cs="Times New Roman"/>
          <w:sz w:val="24"/>
          <w:szCs w:val="24"/>
        </w:rPr>
        <w:t xml:space="preserve">A). Por su parte, la distribución potencial del loro corona lila es ligeramente más amplia en la temporada de lluvias, presentando una mayor extensión en el sureste del país (Fig. </w:t>
      </w:r>
      <w:r>
        <w:rPr>
          <w:rFonts w:ascii="Times New Roman" w:hAnsi="Times New Roman" w:cs="Times New Roman"/>
          <w:sz w:val="24"/>
          <w:szCs w:val="24"/>
        </w:rPr>
        <w:t>2</w:t>
      </w:r>
      <w:r w:rsidRPr="006550DC">
        <w:rPr>
          <w:rFonts w:ascii="Times New Roman" w:hAnsi="Times New Roman" w:cs="Times New Roman"/>
          <w:sz w:val="24"/>
          <w:szCs w:val="24"/>
        </w:rPr>
        <w:t xml:space="preserve">B). </w:t>
      </w:r>
      <w:r w:rsidRPr="008D0F1F">
        <w:rPr>
          <w:rFonts w:ascii="Times New Roman" w:hAnsi="Times New Roman" w:cs="Times New Roman"/>
          <w:sz w:val="24"/>
          <w:szCs w:val="24"/>
        </w:rPr>
        <w:t xml:space="preserve">Los valores </w:t>
      </w:r>
      <w:r>
        <w:rPr>
          <w:rFonts w:ascii="Times New Roman" w:hAnsi="Times New Roman" w:cs="Times New Roman"/>
          <w:sz w:val="24"/>
          <w:szCs w:val="24"/>
        </w:rPr>
        <w:t xml:space="preserve">producto de la ROC parcial </w:t>
      </w:r>
      <w:r w:rsidRPr="008D0F1F">
        <w:rPr>
          <w:rFonts w:ascii="Times New Roman" w:hAnsi="Times New Roman" w:cs="Times New Roman"/>
          <w:sz w:val="24"/>
          <w:szCs w:val="24"/>
        </w:rPr>
        <w:t>para la temporada reproductiva</w:t>
      </w:r>
      <w:r>
        <w:rPr>
          <w:rFonts w:ascii="Times New Roman" w:hAnsi="Times New Roman" w:cs="Times New Roman"/>
          <w:sz w:val="24"/>
          <w:szCs w:val="24"/>
        </w:rPr>
        <w:t xml:space="preserve"> fueron de un A</w:t>
      </w:r>
      <w:r w:rsidRPr="008D0F1F">
        <w:rPr>
          <w:rFonts w:ascii="Times New Roman" w:hAnsi="Times New Roman" w:cs="Times New Roman"/>
          <w:sz w:val="24"/>
          <w:szCs w:val="24"/>
        </w:rPr>
        <w:t xml:space="preserve">UC </w:t>
      </w:r>
      <w:r w:rsidRPr="00036FBD">
        <w:rPr>
          <w:rFonts w:ascii="Times New Roman" w:hAnsi="Times New Roman" w:cs="Times New Roman"/>
          <w:i/>
          <w:sz w:val="24"/>
          <w:szCs w:val="24"/>
        </w:rPr>
        <w:t>ratio</w:t>
      </w:r>
      <w:r>
        <w:rPr>
          <w:rFonts w:ascii="Times New Roman" w:hAnsi="Times New Roman" w:cs="Times New Roman"/>
          <w:i/>
          <w:sz w:val="24"/>
          <w:szCs w:val="24"/>
        </w:rPr>
        <w:t xml:space="preserve"> </w:t>
      </w:r>
      <w:r>
        <w:rPr>
          <w:rFonts w:ascii="Times New Roman" w:hAnsi="Times New Roman" w:cs="Times New Roman"/>
          <w:sz w:val="24"/>
          <w:szCs w:val="24"/>
        </w:rPr>
        <w:t>de</w:t>
      </w:r>
      <w:r w:rsidRPr="008D0F1F">
        <w:rPr>
          <w:rFonts w:ascii="Times New Roman" w:hAnsi="Times New Roman" w:cs="Times New Roman"/>
          <w:sz w:val="24"/>
          <w:szCs w:val="24"/>
        </w:rPr>
        <w:t xml:space="preserve"> 1.156</w:t>
      </w:r>
      <w:r>
        <w:rPr>
          <w:rFonts w:ascii="Times New Roman" w:hAnsi="Times New Roman" w:cs="Times New Roman"/>
          <w:sz w:val="24"/>
          <w:szCs w:val="24"/>
        </w:rPr>
        <w:t xml:space="preserve"> (p</w:t>
      </w:r>
      <w:r w:rsidRPr="008D0F1F">
        <w:rPr>
          <w:rFonts w:ascii="Times New Roman" w:hAnsi="Times New Roman" w:cs="Times New Roman"/>
          <w:sz w:val="24"/>
          <w:szCs w:val="24"/>
        </w:rPr>
        <w:t>&lt; 0.001</w:t>
      </w:r>
      <w:r>
        <w:rPr>
          <w:rFonts w:ascii="Times New Roman" w:hAnsi="Times New Roman" w:cs="Times New Roman"/>
          <w:sz w:val="24"/>
          <w:szCs w:val="24"/>
        </w:rPr>
        <w:t xml:space="preserve">) </w:t>
      </w:r>
      <w:r w:rsidRPr="008D0F1F">
        <w:rPr>
          <w:rFonts w:ascii="Times New Roman" w:hAnsi="Times New Roman" w:cs="Times New Roman"/>
          <w:sz w:val="24"/>
          <w:szCs w:val="24"/>
        </w:rPr>
        <w:t>y de 1.160</w:t>
      </w:r>
      <w:r>
        <w:rPr>
          <w:rFonts w:ascii="Times New Roman" w:hAnsi="Times New Roman" w:cs="Times New Roman"/>
          <w:sz w:val="24"/>
          <w:szCs w:val="24"/>
        </w:rPr>
        <w:t xml:space="preserve"> (p</w:t>
      </w:r>
      <w:r w:rsidRPr="008D0F1F">
        <w:rPr>
          <w:rFonts w:ascii="Times New Roman" w:hAnsi="Times New Roman" w:cs="Times New Roman"/>
          <w:sz w:val="24"/>
          <w:szCs w:val="24"/>
        </w:rPr>
        <w:t>&lt; 0.001</w:t>
      </w:r>
      <w:r>
        <w:rPr>
          <w:rFonts w:ascii="Times New Roman" w:hAnsi="Times New Roman" w:cs="Times New Roman"/>
          <w:sz w:val="24"/>
          <w:szCs w:val="24"/>
        </w:rPr>
        <w:t>)</w:t>
      </w:r>
      <w:r w:rsidRPr="008D0F1F">
        <w:rPr>
          <w:rFonts w:ascii="Times New Roman" w:hAnsi="Times New Roman" w:cs="Times New Roman"/>
          <w:sz w:val="24"/>
          <w:szCs w:val="24"/>
        </w:rPr>
        <w:t xml:space="preserve"> para la no reproductiva.</w:t>
      </w:r>
    </w:p>
    <w:p w14:paraId="70EF101A" w14:textId="77777777" w:rsidR="002C2257" w:rsidRDefault="002C2257" w:rsidP="002C2257">
      <w:pPr>
        <w:ind w:firstLine="0"/>
        <w:rPr>
          <w:rFonts w:ascii="Times New Roman" w:hAnsi="Times New Roman" w:cs="Times New Roman"/>
          <w:sz w:val="24"/>
          <w:szCs w:val="24"/>
        </w:rPr>
      </w:pPr>
      <w:bookmarkStart w:id="6" w:name="_Toc422493140"/>
      <w:bookmarkStart w:id="7" w:name="_Toc422493139"/>
      <w:r w:rsidRPr="006550DC">
        <w:rPr>
          <w:rFonts w:ascii="Times New Roman" w:hAnsi="Times New Roman" w:cs="Times New Roman"/>
          <w:b/>
          <w:sz w:val="24"/>
          <w:szCs w:val="24"/>
        </w:rPr>
        <w:t>Variación estacional</w:t>
      </w:r>
      <w:bookmarkEnd w:id="6"/>
      <w:r>
        <w:rPr>
          <w:rFonts w:ascii="Times New Roman" w:hAnsi="Times New Roman" w:cs="Times New Roman"/>
          <w:b/>
          <w:sz w:val="24"/>
          <w:szCs w:val="24"/>
        </w:rPr>
        <w:t xml:space="preserve"> potencial</w:t>
      </w:r>
      <w:r w:rsidRPr="006550DC">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l</w:t>
      </w:r>
      <w:r w:rsidRPr="00D15045">
        <w:rPr>
          <w:rFonts w:ascii="Times New Roman" w:hAnsi="Times New Roman" w:cs="Times New Roman"/>
          <w:sz w:val="24"/>
          <w:szCs w:val="24"/>
        </w:rPr>
        <w:t xml:space="preserve">as variables climáticas en sitios de presencia de los loros </w:t>
      </w:r>
      <w:r>
        <w:rPr>
          <w:rFonts w:ascii="Times New Roman" w:hAnsi="Times New Roman" w:cs="Times New Roman"/>
          <w:sz w:val="24"/>
          <w:szCs w:val="24"/>
        </w:rPr>
        <w:t>se ajustaron a una distribución normal de acuerdo a la prueba Kolmogorov-Smirnoff (p &lt; 0.01) presentando</w:t>
      </w:r>
      <w:r w:rsidRPr="00D15045">
        <w:rPr>
          <w:rFonts w:ascii="Times New Roman" w:hAnsi="Times New Roman" w:cs="Times New Roman"/>
          <w:sz w:val="24"/>
          <w:szCs w:val="24"/>
        </w:rPr>
        <w:t xml:space="preserve"> diferencias significativas entre temporadas reproductivas y no-reproductivas en </w:t>
      </w:r>
      <w:r>
        <w:rPr>
          <w:rFonts w:ascii="Times New Roman" w:hAnsi="Times New Roman" w:cs="Times New Roman"/>
          <w:sz w:val="24"/>
          <w:szCs w:val="24"/>
        </w:rPr>
        <w:t>temperatura mínima (t = -192.045</w:t>
      </w:r>
      <w:r w:rsidRPr="00D15045">
        <w:rPr>
          <w:rFonts w:ascii="Times New Roman" w:hAnsi="Times New Roman" w:cs="Times New Roman"/>
          <w:sz w:val="24"/>
          <w:szCs w:val="24"/>
        </w:rPr>
        <w:t>, p &lt; 0.001</w:t>
      </w:r>
      <w:r>
        <w:rPr>
          <w:rFonts w:ascii="Times New Roman" w:hAnsi="Times New Roman" w:cs="Times New Roman"/>
          <w:sz w:val="24"/>
          <w:szCs w:val="24"/>
        </w:rPr>
        <w:t>, g.l. 39,998</w:t>
      </w:r>
      <w:r w:rsidRPr="00D15045">
        <w:rPr>
          <w:rFonts w:ascii="Times New Roman" w:hAnsi="Times New Roman" w:cs="Times New Roman"/>
          <w:sz w:val="24"/>
          <w:szCs w:val="24"/>
        </w:rPr>
        <w:t xml:space="preserve">) y precipitación (t = </w:t>
      </w:r>
      <w:r>
        <w:rPr>
          <w:rFonts w:ascii="Times New Roman" w:hAnsi="Times New Roman" w:cs="Times New Roman"/>
          <w:sz w:val="24"/>
          <w:szCs w:val="24"/>
        </w:rPr>
        <w:t>–401.174</w:t>
      </w:r>
      <w:r w:rsidRPr="00D15045">
        <w:rPr>
          <w:rFonts w:ascii="Times New Roman" w:hAnsi="Times New Roman" w:cs="Times New Roman"/>
          <w:sz w:val="24"/>
          <w:szCs w:val="24"/>
        </w:rPr>
        <w:t xml:space="preserve"> p &lt;0.001</w:t>
      </w:r>
      <w:r>
        <w:rPr>
          <w:rFonts w:ascii="Times New Roman" w:hAnsi="Times New Roman" w:cs="Times New Roman"/>
          <w:sz w:val="24"/>
          <w:szCs w:val="24"/>
        </w:rPr>
        <w:t>, g.l. 39,998; Fig. 2). Para la</w:t>
      </w:r>
      <w:r w:rsidRPr="00D15045">
        <w:rPr>
          <w:rFonts w:ascii="Times New Roman" w:hAnsi="Times New Roman" w:cs="Times New Roman"/>
          <w:sz w:val="24"/>
          <w:szCs w:val="24"/>
        </w:rPr>
        <w:t xml:space="preserve"> temperatura máxima</w:t>
      </w:r>
      <w:r>
        <w:rPr>
          <w:rFonts w:ascii="Times New Roman" w:hAnsi="Times New Roman" w:cs="Times New Roman"/>
          <w:sz w:val="24"/>
          <w:szCs w:val="24"/>
        </w:rPr>
        <w:t xml:space="preserve"> y las variables topográficas no hubo diferencias</w:t>
      </w:r>
      <w:r w:rsidRPr="00D15045">
        <w:rPr>
          <w:rFonts w:ascii="Times New Roman" w:hAnsi="Times New Roman" w:cs="Times New Roman"/>
          <w:sz w:val="24"/>
          <w:szCs w:val="24"/>
        </w:rPr>
        <w:t>.</w:t>
      </w:r>
    </w:p>
    <w:bookmarkEnd w:id="7"/>
    <w:p w14:paraId="1E499D39" w14:textId="77777777" w:rsidR="002C2257" w:rsidRPr="006550DC" w:rsidRDefault="002C2257" w:rsidP="002C2257">
      <w:pPr>
        <w:tabs>
          <w:tab w:val="left" w:pos="1560"/>
        </w:tabs>
        <w:ind w:firstLine="708"/>
        <w:rPr>
          <w:rFonts w:ascii="Times New Roman" w:hAnsi="Times New Roman" w:cs="Times New Roman"/>
          <w:sz w:val="24"/>
          <w:szCs w:val="24"/>
        </w:rPr>
      </w:pPr>
      <w:r w:rsidRPr="006550DC">
        <w:rPr>
          <w:rFonts w:ascii="Times New Roman" w:hAnsi="Times New Roman" w:cs="Times New Roman"/>
          <w:sz w:val="24"/>
          <w:szCs w:val="24"/>
        </w:rPr>
        <w:t xml:space="preserve">Considerando sólo dos dimensiones ecológicas (temperatura mínima y precipitación) se separaron de manera notoria ambas temporadas, ya que la de reproducción se ubica entre los 0-50 mm aproximadamente,  mientras que la no reproductiva (temporada de lluvias) se expande desde poco menos de 100 hasta poco más de 400 milímetros (Fig. </w:t>
      </w:r>
      <w:r>
        <w:rPr>
          <w:rFonts w:ascii="Times New Roman" w:hAnsi="Times New Roman" w:cs="Times New Roman"/>
          <w:sz w:val="24"/>
          <w:szCs w:val="24"/>
        </w:rPr>
        <w:t>4A</w:t>
      </w:r>
      <w:r w:rsidRPr="006550DC">
        <w:rPr>
          <w:rFonts w:ascii="Times New Roman" w:hAnsi="Times New Roman" w:cs="Times New Roman"/>
          <w:sz w:val="24"/>
          <w:szCs w:val="24"/>
        </w:rPr>
        <w:t>). Por otra parte, para la temperatura mínima el rango fue más amplio en la temporada reproductiva (3-22°C) y más estrecho en la no reproductiva (9-24°C).</w:t>
      </w:r>
      <w:r>
        <w:rPr>
          <w:rFonts w:ascii="Times New Roman" w:hAnsi="Times New Roman" w:cs="Times New Roman"/>
          <w:sz w:val="24"/>
          <w:szCs w:val="24"/>
        </w:rPr>
        <w:t xml:space="preserve"> </w:t>
      </w:r>
      <w:r w:rsidRPr="006550DC">
        <w:rPr>
          <w:rFonts w:ascii="Times New Roman" w:hAnsi="Times New Roman" w:cs="Times New Roman"/>
          <w:sz w:val="24"/>
          <w:szCs w:val="24"/>
        </w:rPr>
        <w:t xml:space="preserve">La distribución ecológica considerando la precipitación y la temperatura máxima (Fig. </w:t>
      </w:r>
      <w:r>
        <w:rPr>
          <w:rFonts w:ascii="Times New Roman" w:hAnsi="Times New Roman" w:cs="Times New Roman"/>
          <w:sz w:val="24"/>
          <w:szCs w:val="24"/>
        </w:rPr>
        <w:t>4B</w:t>
      </w:r>
      <w:r w:rsidRPr="006550DC">
        <w:rPr>
          <w:rFonts w:ascii="Times New Roman" w:hAnsi="Times New Roman" w:cs="Times New Roman"/>
          <w:sz w:val="24"/>
          <w:szCs w:val="24"/>
        </w:rPr>
        <w:t>), muestra que en la temporada reproductiva la especie está limitada por la precipitación y que hace uso de un mayor rango de temperatura máxima, en contraste, en la temporada no reproductiva, la especie usa sitios más cálidos reduciendo su rango en temperatura máxima y ampliando su rango en la precipitación.</w:t>
      </w:r>
      <w:r>
        <w:rPr>
          <w:rFonts w:ascii="Times New Roman" w:hAnsi="Times New Roman" w:cs="Times New Roman"/>
          <w:sz w:val="24"/>
          <w:szCs w:val="24"/>
        </w:rPr>
        <w:t xml:space="preserve"> </w:t>
      </w:r>
      <w:r w:rsidRPr="006550DC">
        <w:rPr>
          <w:rFonts w:ascii="Times New Roman" w:hAnsi="Times New Roman" w:cs="Times New Roman"/>
          <w:sz w:val="24"/>
          <w:szCs w:val="24"/>
        </w:rPr>
        <w:t xml:space="preserve">La distribución ecológica entre temperatura máxima y temperatura mínima muestra una ligera sobreposición, entre las temporadas reproductiva y no reproductiva en las temperaturas cercanas a los 10°C y superiores para temperatura mínima y mayores a los 25°C </w:t>
      </w:r>
      <w:r>
        <w:rPr>
          <w:rFonts w:ascii="Times New Roman" w:hAnsi="Times New Roman" w:cs="Times New Roman"/>
          <w:sz w:val="24"/>
          <w:szCs w:val="24"/>
        </w:rPr>
        <w:t>para temperatura máxima (Fig. 4C</w:t>
      </w:r>
      <w:r w:rsidRPr="006550DC">
        <w:rPr>
          <w:rFonts w:ascii="Times New Roman" w:hAnsi="Times New Roman" w:cs="Times New Roman"/>
          <w:sz w:val="24"/>
          <w:szCs w:val="24"/>
        </w:rPr>
        <w:t>).</w:t>
      </w:r>
    </w:p>
    <w:p w14:paraId="09215D37" w14:textId="77777777" w:rsidR="002C2257" w:rsidRPr="006550DC" w:rsidRDefault="002C2257" w:rsidP="002C2257">
      <w:pPr>
        <w:ind w:firstLine="708"/>
        <w:rPr>
          <w:rFonts w:ascii="Times New Roman" w:hAnsi="Times New Roman" w:cs="Times New Roman"/>
          <w:sz w:val="24"/>
          <w:szCs w:val="24"/>
        </w:rPr>
      </w:pPr>
      <w:r w:rsidRPr="006550DC">
        <w:rPr>
          <w:rFonts w:ascii="Times New Roman" w:hAnsi="Times New Roman" w:cs="Times New Roman"/>
          <w:sz w:val="24"/>
          <w:szCs w:val="24"/>
        </w:rPr>
        <w:t>La temperatura mínima y la precipitación de la especie se comportan de manera similar, con valores bajos en los meses de enero a mayo y comenzando a incrementarse durante este último, manteniéndose hasta octubre o noviembre. Por su parte, la temperatura máxima no obedece a este patrón, ya que presenta únicamente valores máximos en los meses de junio, julio y septiembre, con una disminución en agosto</w:t>
      </w:r>
      <w:r>
        <w:rPr>
          <w:rFonts w:ascii="Times New Roman" w:hAnsi="Times New Roman" w:cs="Times New Roman"/>
          <w:sz w:val="24"/>
          <w:szCs w:val="24"/>
        </w:rPr>
        <w:t xml:space="preserve"> (Fig. 2</w:t>
      </w:r>
      <w:r w:rsidRPr="006550DC">
        <w:rPr>
          <w:rFonts w:ascii="Times New Roman" w:hAnsi="Times New Roman" w:cs="Times New Roman"/>
          <w:sz w:val="24"/>
          <w:szCs w:val="24"/>
        </w:rPr>
        <w:t>).</w:t>
      </w:r>
      <w:r>
        <w:rPr>
          <w:rFonts w:ascii="Times New Roman" w:hAnsi="Times New Roman" w:cs="Times New Roman"/>
          <w:sz w:val="24"/>
          <w:szCs w:val="24"/>
        </w:rPr>
        <w:t xml:space="preserve"> A</w:t>
      </w:r>
      <w:r w:rsidRPr="00532016">
        <w:rPr>
          <w:rFonts w:ascii="Times New Roman" w:hAnsi="Times New Roman" w:cs="Times New Roman"/>
          <w:sz w:val="24"/>
          <w:szCs w:val="24"/>
        </w:rPr>
        <w:t>l proyectar las condiciones de la temporada de reproducción al resto del año, se observó que estas sólo se presentan en los meses posteriores a la temporada de lluvias y previos al inicio de la temporada de secas (octubre a enero). La proyección de lluvias al resto del año presenta un área constante en el sur del país en los estados Oaxaca y Chiapas cuya mayor extensión se observa en el mes de mayo</w:t>
      </w:r>
      <w:r>
        <w:rPr>
          <w:rFonts w:ascii="Times New Roman" w:hAnsi="Times New Roman" w:cs="Times New Roman"/>
          <w:sz w:val="24"/>
          <w:szCs w:val="24"/>
        </w:rPr>
        <w:t xml:space="preserve"> (Figs. 1-2, en material suplementario 2)</w:t>
      </w:r>
      <w:r w:rsidRPr="00532016">
        <w:rPr>
          <w:rFonts w:ascii="Times New Roman" w:hAnsi="Times New Roman" w:cs="Times New Roman"/>
          <w:sz w:val="24"/>
          <w:szCs w:val="24"/>
        </w:rPr>
        <w:t>.</w:t>
      </w:r>
      <w:bookmarkStart w:id="8" w:name="_Toc422493143"/>
    </w:p>
    <w:bookmarkEnd w:id="8"/>
    <w:p w14:paraId="6001C1B9" w14:textId="77777777" w:rsidR="002C2257" w:rsidRDefault="002C2257" w:rsidP="002C2257">
      <w:pPr>
        <w:ind w:firstLine="0"/>
        <w:rPr>
          <w:rFonts w:ascii="Times New Roman" w:hAnsi="Times New Roman" w:cs="Times New Roman"/>
          <w:sz w:val="24"/>
          <w:szCs w:val="24"/>
        </w:rPr>
      </w:pPr>
      <w:r>
        <w:rPr>
          <w:rFonts w:ascii="Times New Roman" w:hAnsi="Times New Roman" w:cs="Times New Roman"/>
          <w:b/>
          <w:sz w:val="24"/>
          <w:szCs w:val="24"/>
        </w:rPr>
        <w:t>Correspondencia con riqueza de recursos</w:t>
      </w:r>
      <w:r w:rsidRPr="006550DC">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los patrones</w:t>
      </w:r>
      <w:r w:rsidRPr="006550DC">
        <w:rPr>
          <w:rFonts w:ascii="Times New Roman" w:hAnsi="Times New Roman" w:cs="Times New Roman"/>
          <w:sz w:val="24"/>
          <w:szCs w:val="24"/>
        </w:rPr>
        <w:t xml:space="preserve"> geográfico</w:t>
      </w:r>
      <w:r>
        <w:rPr>
          <w:rFonts w:ascii="Times New Roman" w:hAnsi="Times New Roman" w:cs="Times New Roman"/>
          <w:sz w:val="24"/>
          <w:szCs w:val="24"/>
        </w:rPr>
        <w:t xml:space="preserve">s observados para la temporada reproductiva del loro corona lila, sugieren que </w:t>
      </w:r>
      <w:r w:rsidRPr="006550DC">
        <w:rPr>
          <w:rFonts w:ascii="Times New Roman" w:hAnsi="Times New Roman" w:cs="Times New Roman"/>
          <w:sz w:val="24"/>
          <w:szCs w:val="24"/>
        </w:rPr>
        <w:t>las especies que sirven como alimento (y/o) sitio de anidación,</w:t>
      </w:r>
      <w:r>
        <w:rPr>
          <w:rFonts w:ascii="Times New Roman" w:hAnsi="Times New Roman" w:cs="Times New Roman"/>
          <w:sz w:val="24"/>
          <w:szCs w:val="24"/>
        </w:rPr>
        <w:t xml:space="preserve"> </w:t>
      </w:r>
      <w:r w:rsidRPr="006550DC">
        <w:rPr>
          <w:rFonts w:ascii="Times New Roman" w:hAnsi="Times New Roman" w:cs="Times New Roman"/>
          <w:sz w:val="24"/>
          <w:szCs w:val="24"/>
        </w:rPr>
        <w:t>coincide</w:t>
      </w:r>
      <w:r>
        <w:rPr>
          <w:rFonts w:ascii="Times New Roman" w:hAnsi="Times New Roman" w:cs="Times New Roman"/>
          <w:sz w:val="24"/>
          <w:szCs w:val="24"/>
        </w:rPr>
        <w:t>n</w:t>
      </w:r>
      <w:r w:rsidRPr="006550DC">
        <w:rPr>
          <w:rFonts w:ascii="Times New Roman" w:hAnsi="Times New Roman" w:cs="Times New Roman"/>
          <w:sz w:val="24"/>
          <w:szCs w:val="24"/>
        </w:rPr>
        <w:t xml:space="preserve"> de manera notable con la distribución </w:t>
      </w:r>
      <w:r>
        <w:rPr>
          <w:rFonts w:ascii="Times New Roman" w:hAnsi="Times New Roman" w:cs="Times New Roman"/>
          <w:sz w:val="24"/>
          <w:szCs w:val="24"/>
        </w:rPr>
        <w:t xml:space="preserve">potencial </w:t>
      </w:r>
      <w:r w:rsidRPr="006550DC">
        <w:rPr>
          <w:rFonts w:ascii="Times New Roman" w:hAnsi="Times New Roman" w:cs="Times New Roman"/>
          <w:sz w:val="24"/>
          <w:szCs w:val="24"/>
        </w:rPr>
        <w:t>de l</w:t>
      </w:r>
      <w:r>
        <w:rPr>
          <w:rFonts w:ascii="Times New Roman" w:hAnsi="Times New Roman" w:cs="Times New Roman"/>
          <w:sz w:val="24"/>
          <w:szCs w:val="24"/>
        </w:rPr>
        <w:t xml:space="preserve">oro </w:t>
      </w:r>
      <w:r w:rsidRPr="006550DC">
        <w:rPr>
          <w:rFonts w:ascii="Times New Roman" w:hAnsi="Times New Roman" w:cs="Times New Roman"/>
          <w:sz w:val="24"/>
          <w:szCs w:val="24"/>
        </w:rPr>
        <w:t>(Figs. 5A y 5B)</w:t>
      </w:r>
      <w:r>
        <w:rPr>
          <w:rFonts w:ascii="Times New Roman" w:hAnsi="Times New Roman" w:cs="Times New Roman"/>
          <w:sz w:val="24"/>
          <w:szCs w:val="24"/>
        </w:rPr>
        <w:t xml:space="preserve">. La distribución de las especies que sirven como alimento al loro corona lila presentan una distribución continua, observándose una correspondencia con las selvas bajas y medianas de la planicie costera del Pacífico (Fig. </w:t>
      </w:r>
      <w:r w:rsidRPr="006550DC">
        <w:rPr>
          <w:rFonts w:ascii="Times New Roman" w:hAnsi="Times New Roman" w:cs="Times New Roman"/>
          <w:sz w:val="24"/>
          <w:szCs w:val="24"/>
        </w:rPr>
        <w:t>5</w:t>
      </w:r>
      <w:r>
        <w:rPr>
          <w:rFonts w:ascii="Times New Roman" w:hAnsi="Times New Roman" w:cs="Times New Roman"/>
          <w:sz w:val="24"/>
          <w:szCs w:val="24"/>
        </w:rPr>
        <w:t>A). Por su parte, la distribución de las especies usadas para anidar presenta un patrón semejante solo que ocupando una mayor área en los estados de Oaxaca, Guerrero y Michoacán (Fig. 5B).</w:t>
      </w:r>
      <w:bookmarkStart w:id="9" w:name="_Toc422493144"/>
    </w:p>
    <w:p w14:paraId="3E71BFA2" w14:textId="77777777" w:rsidR="002C2257" w:rsidRPr="006550DC" w:rsidRDefault="002C2257" w:rsidP="002C2257">
      <w:pPr>
        <w:ind w:firstLine="0"/>
        <w:jc w:val="center"/>
        <w:rPr>
          <w:rFonts w:ascii="Times New Roman" w:hAnsi="Times New Roman" w:cs="Times New Roman"/>
          <w:sz w:val="24"/>
          <w:szCs w:val="24"/>
        </w:rPr>
      </w:pPr>
      <w:r w:rsidRPr="006550DC">
        <w:rPr>
          <w:rFonts w:ascii="Times New Roman" w:hAnsi="Times New Roman" w:cs="Times New Roman"/>
          <w:sz w:val="24"/>
          <w:szCs w:val="24"/>
        </w:rPr>
        <w:t>DISCUSIÓN</w:t>
      </w:r>
      <w:bookmarkEnd w:id="9"/>
    </w:p>
    <w:p w14:paraId="2CD17322" w14:textId="77777777" w:rsidR="002C2257" w:rsidRDefault="002C2257" w:rsidP="002C2257">
      <w:pPr>
        <w:ind w:firstLine="0"/>
        <w:rPr>
          <w:rFonts w:ascii="Times New Roman" w:hAnsi="Times New Roman" w:cs="Times New Roman"/>
          <w:sz w:val="24"/>
          <w:szCs w:val="24"/>
        </w:rPr>
      </w:pPr>
      <w:r>
        <w:rPr>
          <w:rFonts w:ascii="Times New Roman" w:hAnsi="Times New Roman" w:cs="Times New Roman"/>
          <w:sz w:val="24"/>
          <w:szCs w:val="24"/>
        </w:rPr>
        <w:t xml:space="preserve">La distribución potencial de </w:t>
      </w:r>
      <w:r w:rsidRPr="00CC3BCE">
        <w:rPr>
          <w:rFonts w:ascii="Times New Roman" w:hAnsi="Times New Roman" w:cs="Times New Roman"/>
          <w:i/>
          <w:sz w:val="24"/>
          <w:szCs w:val="24"/>
        </w:rPr>
        <w:t>A. finschi</w:t>
      </w:r>
      <w:r>
        <w:rPr>
          <w:rFonts w:ascii="Times New Roman" w:hAnsi="Times New Roman" w:cs="Times New Roman"/>
          <w:sz w:val="24"/>
          <w:szCs w:val="24"/>
        </w:rPr>
        <w:t xml:space="preserve"> varía entre temporadas en respuesta a las variaciones </w:t>
      </w:r>
      <w:r w:rsidRPr="006550DC">
        <w:rPr>
          <w:rFonts w:ascii="Times New Roman" w:hAnsi="Times New Roman" w:cs="Times New Roman"/>
          <w:sz w:val="24"/>
          <w:szCs w:val="24"/>
        </w:rPr>
        <w:t>en tem</w:t>
      </w:r>
      <w:r>
        <w:rPr>
          <w:rFonts w:ascii="Times New Roman" w:hAnsi="Times New Roman" w:cs="Times New Roman"/>
          <w:sz w:val="24"/>
          <w:szCs w:val="24"/>
        </w:rPr>
        <w:t xml:space="preserve">peratura mínima y precipitación, siendo esta última variable determinante en la estacionalidad en ambientes subtropicales </w:t>
      </w:r>
      <w:r w:rsidRPr="00CC3BCE">
        <w:rPr>
          <w:rFonts w:ascii="Times New Roman" w:hAnsi="Times New Roman" w:cs="Times New Roman"/>
          <w:sz w:val="24"/>
          <w:szCs w:val="24"/>
        </w:rPr>
        <w:t>(Sarmiento 1972, Loiselle y Blake 1994)</w:t>
      </w:r>
      <w:r>
        <w:rPr>
          <w:rFonts w:ascii="Times New Roman" w:hAnsi="Times New Roman" w:cs="Times New Roman"/>
          <w:sz w:val="24"/>
          <w:szCs w:val="24"/>
        </w:rPr>
        <w:t>. A causa de estas</w:t>
      </w:r>
      <w:r w:rsidRPr="00CC3BCE">
        <w:rPr>
          <w:rFonts w:ascii="Times New Roman" w:hAnsi="Times New Roman" w:cs="Times New Roman"/>
          <w:sz w:val="24"/>
          <w:szCs w:val="24"/>
        </w:rPr>
        <w:t xml:space="preserve"> fluctuaciones </w:t>
      </w:r>
      <w:r>
        <w:rPr>
          <w:rFonts w:ascii="Times New Roman" w:hAnsi="Times New Roman" w:cs="Times New Roman"/>
          <w:sz w:val="24"/>
          <w:szCs w:val="24"/>
        </w:rPr>
        <w:t>se pueden modificar</w:t>
      </w:r>
      <w:r w:rsidRPr="00CC3BCE">
        <w:rPr>
          <w:rFonts w:ascii="Times New Roman" w:hAnsi="Times New Roman" w:cs="Times New Roman"/>
          <w:sz w:val="24"/>
          <w:szCs w:val="24"/>
        </w:rPr>
        <w:t xml:space="preserve"> la estructura del hábitat </w:t>
      </w:r>
      <w:r>
        <w:rPr>
          <w:rFonts w:ascii="Times New Roman" w:hAnsi="Times New Roman" w:cs="Times New Roman"/>
          <w:sz w:val="24"/>
          <w:szCs w:val="24"/>
        </w:rPr>
        <w:t>y</w:t>
      </w:r>
      <w:r w:rsidRPr="00CC3BCE">
        <w:rPr>
          <w:rFonts w:ascii="Times New Roman" w:hAnsi="Times New Roman" w:cs="Times New Roman"/>
          <w:sz w:val="24"/>
          <w:szCs w:val="24"/>
        </w:rPr>
        <w:t xml:space="preserve"> la disponibilidad de recursos </w:t>
      </w:r>
      <w:r>
        <w:rPr>
          <w:rFonts w:ascii="Times New Roman" w:hAnsi="Times New Roman" w:cs="Times New Roman"/>
          <w:sz w:val="24"/>
          <w:szCs w:val="24"/>
        </w:rPr>
        <w:t xml:space="preserve">entre temporadas </w:t>
      </w:r>
      <w:r w:rsidRPr="00CC3BCE">
        <w:rPr>
          <w:rFonts w:ascii="Times New Roman" w:hAnsi="Times New Roman" w:cs="Times New Roman"/>
          <w:sz w:val="24"/>
          <w:szCs w:val="24"/>
        </w:rPr>
        <w:t>(Malizia 2001, Codesido y Bilenca 2004)</w:t>
      </w:r>
      <w:r>
        <w:rPr>
          <w:rFonts w:ascii="Times New Roman" w:hAnsi="Times New Roman" w:cs="Times New Roman"/>
          <w:sz w:val="24"/>
          <w:szCs w:val="24"/>
        </w:rPr>
        <w:t>,</w:t>
      </w:r>
      <w:r w:rsidRPr="00CC3BCE">
        <w:rPr>
          <w:rFonts w:ascii="Times New Roman" w:hAnsi="Times New Roman" w:cs="Times New Roman"/>
          <w:sz w:val="24"/>
          <w:szCs w:val="24"/>
        </w:rPr>
        <w:t xml:space="preserve"> lo que en especies con un alto grado de sensibilidad</w:t>
      </w:r>
      <w:r>
        <w:rPr>
          <w:rFonts w:ascii="Times New Roman" w:hAnsi="Times New Roman" w:cs="Times New Roman"/>
          <w:sz w:val="24"/>
          <w:szCs w:val="24"/>
        </w:rPr>
        <w:t xml:space="preserve">, puede provocar un </w:t>
      </w:r>
      <w:r w:rsidRPr="00CC3BCE">
        <w:rPr>
          <w:rFonts w:ascii="Times New Roman" w:hAnsi="Times New Roman" w:cs="Times New Roman"/>
          <w:sz w:val="24"/>
          <w:szCs w:val="24"/>
        </w:rPr>
        <w:t>bajo éxito reproductivo</w:t>
      </w:r>
      <w:r>
        <w:rPr>
          <w:rFonts w:ascii="Times New Roman" w:hAnsi="Times New Roman" w:cs="Times New Roman"/>
          <w:sz w:val="24"/>
          <w:szCs w:val="24"/>
        </w:rPr>
        <w:t>, como es el caso del</w:t>
      </w:r>
      <w:r w:rsidRPr="00CC3BCE">
        <w:rPr>
          <w:rFonts w:ascii="Times New Roman" w:hAnsi="Times New Roman" w:cs="Times New Roman"/>
          <w:sz w:val="24"/>
          <w:szCs w:val="24"/>
        </w:rPr>
        <w:t xml:space="preserve"> loro corona lila (Renton e Iñigo-Elías, 2003; Renton, 20</w:t>
      </w:r>
      <w:r>
        <w:rPr>
          <w:rFonts w:ascii="Times New Roman" w:hAnsi="Times New Roman" w:cs="Times New Roman"/>
          <w:sz w:val="24"/>
          <w:szCs w:val="24"/>
        </w:rPr>
        <w:t xml:space="preserve">09; de la Parra-Martínez, 2011), e incluso variaciones en sus </w:t>
      </w:r>
      <w:r w:rsidRPr="00541D38">
        <w:rPr>
          <w:rFonts w:ascii="Times New Roman" w:hAnsi="Times New Roman" w:cs="Times New Roman"/>
          <w:sz w:val="24"/>
          <w:szCs w:val="24"/>
        </w:rPr>
        <w:t>patrones de distribución</w:t>
      </w:r>
      <w:r>
        <w:rPr>
          <w:rFonts w:ascii="Times New Roman" w:hAnsi="Times New Roman" w:cs="Times New Roman"/>
          <w:sz w:val="24"/>
          <w:szCs w:val="24"/>
        </w:rPr>
        <w:t xml:space="preserve"> geográfica y ecológica (</w:t>
      </w:r>
      <w:r w:rsidRPr="00541D38">
        <w:rPr>
          <w:rFonts w:ascii="Times New Roman" w:hAnsi="Times New Roman" w:cs="Times New Roman"/>
          <w:sz w:val="24"/>
          <w:szCs w:val="24"/>
        </w:rPr>
        <w:t>Stiles 1978, Hilty 1997</w:t>
      </w:r>
      <w:r>
        <w:rPr>
          <w:rFonts w:ascii="Times New Roman" w:hAnsi="Times New Roman" w:cs="Times New Roman"/>
          <w:sz w:val="24"/>
          <w:szCs w:val="24"/>
        </w:rPr>
        <w:t>), como se ha observado en el loro, el cual no ha sido registrado recientemente en altitudes superiores a los mil metros (Ortega-Rodríguez y Monterrubio-Rico, 2008).</w:t>
      </w:r>
    </w:p>
    <w:p w14:paraId="7A3AAB8D" w14:textId="77777777" w:rsidR="002C2257" w:rsidRPr="006550DC" w:rsidRDefault="002C2257" w:rsidP="002C2257">
      <w:pPr>
        <w:ind w:firstLine="708"/>
        <w:rPr>
          <w:rFonts w:ascii="Times New Roman" w:hAnsi="Times New Roman" w:cs="Times New Roman"/>
          <w:sz w:val="24"/>
          <w:szCs w:val="24"/>
        </w:rPr>
      </w:pPr>
      <w:r>
        <w:rPr>
          <w:rFonts w:ascii="Times New Roman" w:hAnsi="Times New Roman" w:cs="Times New Roman"/>
          <w:sz w:val="24"/>
          <w:szCs w:val="24"/>
        </w:rPr>
        <w:t xml:space="preserve">La especie </w:t>
      </w:r>
      <w:r w:rsidRPr="006550DC">
        <w:rPr>
          <w:rFonts w:ascii="Times New Roman" w:hAnsi="Times New Roman" w:cs="Times New Roman"/>
          <w:sz w:val="24"/>
          <w:szCs w:val="24"/>
        </w:rPr>
        <w:t xml:space="preserve">no ha sido registrada en Chiapas, probablemente porque el Istmo de Tehuantepec ha funcionado como barrera geográfica evitando su dispersión al sur, como ha sucedido en otras especies (García-Trejo y Navarro-Sigüenza, 2004). Por otra parte, la presencia de </w:t>
      </w:r>
      <w:r w:rsidRPr="006550DC">
        <w:rPr>
          <w:rFonts w:ascii="Times New Roman" w:hAnsi="Times New Roman" w:cs="Times New Roman"/>
          <w:i/>
          <w:sz w:val="24"/>
          <w:szCs w:val="24"/>
        </w:rPr>
        <w:t>Amazona</w:t>
      </w:r>
      <w:r>
        <w:rPr>
          <w:rFonts w:ascii="Times New Roman" w:hAnsi="Times New Roman" w:cs="Times New Roman"/>
          <w:i/>
          <w:sz w:val="24"/>
          <w:szCs w:val="24"/>
        </w:rPr>
        <w:t xml:space="preserve"> </w:t>
      </w:r>
      <w:r w:rsidRPr="006550DC">
        <w:rPr>
          <w:rFonts w:ascii="Times New Roman" w:hAnsi="Times New Roman" w:cs="Times New Roman"/>
          <w:i/>
          <w:sz w:val="24"/>
          <w:szCs w:val="24"/>
        </w:rPr>
        <w:t>autumnalis</w:t>
      </w:r>
      <w:r>
        <w:rPr>
          <w:rFonts w:ascii="Times New Roman" w:hAnsi="Times New Roman" w:cs="Times New Roman"/>
          <w:i/>
          <w:sz w:val="24"/>
          <w:szCs w:val="24"/>
        </w:rPr>
        <w:t xml:space="preserve"> </w:t>
      </w:r>
      <w:r>
        <w:rPr>
          <w:rFonts w:ascii="Times New Roman" w:hAnsi="Times New Roman" w:cs="Times New Roman"/>
          <w:sz w:val="24"/>
          <w:szCs w:val="24"/>
        </w:rPr>
        <w:t>(</w:t>
      </w:r>
      <w:r w:rsidRPr="00537032">
        <w:rPr>
          <w:rFonts w:ascii="Times New Roman" w:hAnsi="Times New Roman" w:cs="Times New Roman"/>
          <w:sz w:val="24"/>
          <w:szCs w:val="24"/>
        </w:rPr>
        <w:t>Linnaeus, 1758</w:t>
      </w:r>
      <w:r>
        <w:rPr>
          <w:rFonts w:ascii="Times New Roman" w:hAnsi="Times New Roman" w:cs="Times New Roman"/>
          <w:sz w:val="24"/>
          <w:szCs w:val="24"/>
        </w:rPr>
        <w:t>)</w:t>
      </w:r>
      <w:r w:rsidRPr="006550DC">
        <w:rPr>
          <w:rFonts w:ascii="Times New Roman" w:hAnsi="Times New Roman" w:cs="Times New Roman"/>
          <w:sz w:val="24"/>
          <w:szCs w:val="24"/>
        </w:rPr>
        <w:t xml:space="preserve">, especie filogenéticamente muy relacionada a </w:t>
      </w:r>
      <w:r w:rsidRPr="006550DC">
        <w:rPr>
          <w:rFonts w:ascii="Times New Roman" w:hAnsi="Times New Roman" w:cs="Times New Roman"/>
          <w:i/>
          <w:sz w:val="24"/>
          <w:szCs w:val="24"/>
        </w:rPr>
        <w:t>A. finschi</w:t>
      </w:r>
      <w:r w:rsidRPr="006550DC">
        <w:rPr>
          <w:rFonts w:ascii="Times New Roman" w:hAnsi="Times New Roman" w:cs="Times New Roman"/>
          <w:sz w:val="24"/>
          <w:szCs w:val="24"/>
        </w:rPr>
        <w:t xml:space="preserve"> y </w:t>
      </w:r>
      <w:r>
        <w:rPr>
          <w:rFonts w:ascii="Times New Roman" w:hAnsi="Times New Roman" w:cs="Times New Roman"/>
          <w:sz w:val="24"/>
          <w:szCs w:val="24"/>
        </w:rPr>
        <w:t xml:space="preserve">que </w:t>
      </w:r>
      <w:r w:rsidRPr="006550DC">
        <w:rPr>
          <w:rFonts w:ascii="Times New Roman" w:hAnsi="Times New Roman" w:cs="Times New Roman"/>
          <w:sz w:val="24"/>
          <w:szCs w:val="24"/>
        </w:rPr>
        <w:t>pertenece al mismo gremio alimenticio (Russello y Amato, 2004; Gómez de Silva et al. 2005</w:t>
      </w:r>
      <w:r>
        <w:rPr>
          <w:rFonts w:ascii="Times New Roman" w:hAnsi="Times New Roman" w:cs="Times New Roman"/>
          <w:sz w:val="24"/>
          <w:szCs w:val="24"/>
        </w:rPr>
        <w:t>b</w:t>
      </w:r>
      <w:r w:rsidRPr="006550DC">
        <w:rPr>
          <w:rFonts w:ascii="Times New Roman" w:hAnsi="Times New Roman" w:cs="Times New Roman"/>
          <w:sz w:val="24"/>
          <w:szCs w:val="24"/>
        </w:rPr>
        <w:t xml:space="preserve">), podría </w:t>
      </w:r>
      <w:r>
        <w:rPr>
          <w:rFonts w:ascii="Times New Roman" w:hAnsi="Times New Roman" w:cs="Times New Roman"/>
          <w:sz w:val="24"/>
          <w:szCs w:val="24"/>
        </w:rPr>
        <w:t>impactar negativamente al loro corona lila a causa de la competencia entre ambas</w:t>
      </w:r>
      <w:r w:rsidRPr="006550DC">
        <w:rPr>
          <w:rFonts w:ascii="Times New Roman" w:hAnsi="Times New Roman" w:cs="Times New Roman"/>
          <w:sz w:val="24"/>
          <w:szCs w:val="24"/>
        </w:rPr>
        <w:t>,</w:t>
      </w:r>
      <w:r>
        <w:rPr>
          <w:rFonts w:ascii="Times New Roman" w:hAnsi="Times New Roman" w:cs="Times New Roman"/>
          <w:sz w:val="24"/>
          <w:szCs w:val="24"/>
        </w:rPr>
        <w:t xml:space="preserve"> sumado a lo anterior, el recambio en la vegetación </w:t>
      </w:r>
      <w:r w:rsidRPr="00A13BF7">
        <w:rPr>
          <w:rFonts w:ascii="Times New Roman" w:hAnsi="Times New Roman" w:cs="Times New Roman"/>
          <w:sz w:val="24"/>
          <w:szCs w:val="24"/>
        </w:rPr>
        <w:t>(Rzedowski, 1978),</w:t>
      </w:r>
      <w:r>
        <w:rPr>
          <w:rFonts w:ascii="Times New Roman" w:hAnsi="Times New Roman" w:cs="Times New Roman"/>
          <w:sz w:val="24"/>
          <w:szCs w:val="24"/>
        </w:rPr>
        <w:t xml:space="preserve"> y el aumento en la diversidad de especies de aves </w:t>
      </w:r>
      <w:r w:rsidRPr="006550DC">
        <w:rPr>
          <w:rFonts w:ascii="Times New Roman" w:hAnsi="Times New Roman" w:cs="Times New Roman"/>
          <w:sz w:val="24"/>
          <w:szCs w:val="24"/>
        </w:rPr>
        <w:t>(Navarro-Sigüenza et al. 2014)</w:t>
      </w:r>
      <w:r>
        <w:rPr>
          <w:rFonts w:ascii="Times New Roman" w:hAnsi="Times New Roman" w:cs="Times New Roman"/>
          <w:sz w:val="24"/>
          <w:szCs w:val="24"/>
        </w:rPr>
        <w:t xml:space="preserve">, pueden ser factores que en conjunto </w:t>
      </w:r>
      <w:r w:rsidRPr="006550DC">
        <w:rPr>
          <w:rFonts w:ascii="Times New Roman" w:hAnsi="Times New Roman" w:cs="Times New Roman"/>
          <w:sz w:val="24"/>
          <w:szCs w:val="24"/>
        </w:rPr>
        <w:t xml:space="preserve">con el bajo éxito de anidación y productividad reproductiva </w:t>
      </w:r>
      <w:r>
        <w:rPr>
          <w:rFonts w:ascii="Times New Roman" w:hAnsi="Times New Roman" w:cs="Times New Roman"/>
          <w:sz w:val="24"/>
          <w:szCs w:val="24"/>
        </w:rPr>
        <w:t xml:space="preserve">del loro corona lila limiten su distribución hacia el sur </w:t>
      </w:r>
      <w:r w:rsidRPr="006550DC">
        <w:rPr>
          <w:rFonts w:ascii="Times New Roman" w:hAnsi="Times New Roman" w:cs="Times New Roman"/>
          <w:sz w:val="24"/>
          <w:szCs w:val="24"/>
        </w:rPr>
        <w:t>(Renton e Iñigo-Elías, 2003)</w:t>
      </w:r>
      <w:r>
        <w:rPr>
          <w:rFonts w:ascii="Times New Roman" w:hAnsi="Times New Roman" w:cs="Times New Roman"/>
          <w:sz w:val="24"/>
          <w:szCs w:val="24"/>
        </w:rPr>
        <w:t>.</w:t>
      </w:r>
    </w:p>
    <w:p w14:paraId="37D43603" w14:textId="77777777" w:rsidR="002C2257" w:rsidRPr="006550DC" w:rsidRDefault="002C2257" w:rsidP="002C2257">
      <w:pPr>
        <w:ind w:firstLine="708"/>
        <w:rPr>
          <w:rFonts w:ascii="Times New Roman" w:hAnsi="Times New Roman" w:cs="Times New Roman"/>
          <w:sz w:val="24"/>
          <w:szCs w:val="24"/>
        </w:rPr>
      </w:pPr>
      <w:r>
        <w:rPr>
          <w:rFonts w:ascii="Times New Roman" w:hAnsi="Times New Roman" w:cs="Times New Roman"/>
          <w:sz w:val="24"/>
          <w:szCs w:val="24"/>
        </w:rPr>
        <w:t>Al parecer</w:t>
      </w:r>
      <w:r w:rsidRPr="006550DC">
        <w:rPr>
          <w:rFonts w:ascii="Times New Roman" w:hAnsi="Times New Roman" w:cs="Times New Roman"/>
          <w:sz w:val="24"/>
          <w:szCs w:val="24"/>
        </w:rPr>
        <w:t xml:space="preserve"> la especie se reproduce en la temporada seca</w:t>
      </w:r>
      <w:r>
        <w:rPr>
          <w:rFonts w:ascii="Times New Roman" w:hAnsi="Times New Roman" w:cs="Times New Roman"/>
          <w:sz w:val="24"/>
          <w:szCs w:val="24"/>
        </w:rPr>
        <w:t xml:space="preserve"> a pesar de la limitada</w:t>
      </w:r>
      <w:r w:rsidRPr="006550DC">
        <w:rPr>
          <w:rFonts w:ascii="Times New Roman" w:hAnsi="Times New Roman" w:cs="Times New Roman"/>
          <w:sz w:val="24"/>
          <w:szCs w:val="24"/>
        </w:rPr>
        <w:t xml:space="preserve"> disponibilidad de recursos (Renton, 2001), </w:t>
      </w:r>
      <w:r>
        <w:rPr>
          <w:rFonts w:ascii="Times New Roman" w:hAnsi="Times New Roman" w:cs="Times New Roman"/>
          <w:sz w:val="24"/>
          <w:szCs w:val="24"/>
        </w:rPr>
        <w:t>ya que durante esta se reduce</w:t>
      </w:r>
      <w:r w:rsidRPr="006550DC">
        <w:rPr>
          <w:rFonts w:ascii="Times New Roman" w:hAnsi="Times New Roman" w:cs="Times New Roman"/>
          <w:sz w:val="24"/>
          <w:szCs w:val="24"/>
        </w:rPr>
        <w:t xml:space="preserve"> el gasto energético </w:t>
      </w:r>
      <w:r>
        <w:rPr>
          <w:rFonts w:ascii="Times New Roman" w:hAnsi="Times New Roman" w:cs="Times New Roman"/>
          <w:sz w:val="24"/>
          <w:szCs w:val="24"/>
        </w:rPr>
        <w:t>de</w:t>
      </w:r>
      <w:r w:rsidRPr="006550DC">
        <w:rPr>
          <w:rFonts w:ascii="Times New Roman" w:hAnsi="Times New Roman" w:cs="Times New Roman"/>
          <w:sz w:val="24"/>
          <w:szCs w:val="24"/>
        </w:rPr>
        <w:t>l proceso de reproducción y crianza,</w:t>
      </w:r>
      <w:r>
        <w:rPr>
          <w:rFonts w:ascii="Times New Roman" w:hAnsi="Times New Roman" w:cs="Times New Roman"/>
          <w:sz w:val="24"/>
          <w:szCs w:val="24"/>
        </w:rPr>
        <w:t xml:space="preserve"> </w:t>
      </w:r>
      <w:r w:rsidRPr="006550DC">
        <w:rPr>
          <w:rFonts w:ascii="Times New Roman" w:hAnsi="Times New Roman" w:cs="Times New Roman"/>
          <w:sz w:val="24"/>
          <w:szCs w:val="24"/>
        </w:rPr>
        <w:t>producto de</w:t>
      </w:r>
      <w:r>
        <w:rPr>
          <w:rFonts w:ascii="Times New Roman" w:hAnsi="Times New Roman" w:cs="Times New Roman"/>
          <w:sz w:val="24"/>
          <w:szCs w:val="24"/>
        </w:rPr>
        <w:t>la exposición</w:t>
      </w:r>
      <w:r w:rsidRPr="006550DC">
        <w:rPr>
          <w:rFonts w:ascii="Times New Roman" w:hAnsi="Times New Roman" w:cs="Times New Roman"/>
          <w:sz w:val="24"/>
          <w:szCs w:val="24"/>
        </w:rPr>
        <w:t xml:space="preserve"> a temperaturas </w:t>
      </w:r>
      <w:r>
        <w:rPr>
          <w:rFonts w:ascii="Times New Roman" w:hAnsi="Times New Roman" w:cs="Times New Roman"/>
          <w:sz w:val="24"/>
          <w:szCs w:val="24"/>
        </w:rPr>
        <w:t xml:space="preserve">y precipitación </w:t>
      </w:r>
      <w:r w:rsidRPr="006550DC">
        <w:rPr>
          <w:rFonts w:ascii="Times New Roman" w:hAnsi="Times New Roman" w:cs="Times New Roman"/>
          <w:sz w:val="24"/>
          <w:szCs w:val="24"/>
        </w:rPr>
        <w:t>menores, lo cual se observa en la mayor amplitud de rango para temperatura mínima durante esta temporada</w:t>
      </w:r>
      <w:r>
        <w:rPr>
          <w:rFonts w:ascii="Times New Roman" w:hAnsi="Times New Roman" w:cs="Times New Roman"/>
          <w:sz w:val="24"/>
          <w:szCs w:val="24"/>
        </w:rPr>
        <w:t xml:space="preserve"> la escasa precipitación, lo anterior puede estar relacionado con la sensibilidad de la especie y las condiciones propias de las cavidades usadas para anidar (Renton e Iñigo-Elías, 2003; Ortega-Rodríguez y Monterrubio-Rico, 2008), o bien ser una repercusión filogenética ya que otras especies del género como </w:t>
      </w:r>
      <w:r w:rsidRPr="00D60A05">
        <w:rPr>
          <w:rFonts w:ascii="Times New Roman" w:hAnsi="Times New Roman" w:cs="Times New Roman"/>
          <w:i/>
          <w:sz w:val="24"/>
          <w:szCs w:val="24"/>
        </w:rPr>
        <w:t>Amazona albifrons</w:t>
      </w:r>
      <w:r>
        <w:rPr>
          <w:rFonts w:ascii="Times New Roman" w:hAnsi="Times New Roman" w:cs="Times New Roman"/>
          <w:sz w:val="24"/>
          <w:szCs w:val="24"/>
        </w:rPr>
        <w:t xml:space="preserve"> (Sparman, 1788) y </w:t>
      </w:r>
      <w:r>
        <w:rPr>
          <w:rFonts w:ascii="Times New Roman" w:hAnsi="Times New Roman" w:cs="Times New Roman"/>
          <w:i/>
          <w:sz w:val="24"/>
          <w:szCs w:val="24"/>
        </w:rPr>
        <w:t xml:space="preserve">A. autumnalis </w:t>
      </w:r>
      <w:r>
        <w:rPr>
          <w:rFonts w:ascii="Times New Roman" w:hAnsi="Times New Roman" w:cs="Times New Roman"/>
          <w:sz w:val="24"/>
          <w:szCs w:val="24"/>
        </w:rPr>
        <w:t>se reproducen durante la misma temporada (</w:t>
      </w:r>
      <w:r w:rsidRPr="006550DC">
        <w:rPr>
          <w:rFonts w:ascii="Times New Roman" w:hAnsi="Times New Roman" w:cs="Times New Roman"/>
          <w:sz w:val="24"/>
          <w:szCs w:val="24"/>
        </w:rPr>
        <w:t>Gómez de Silva et al. 2005</w:t>
      </w:r>
      <w:r>
        <w:rPr>
          <w:rFonts w:ascii="Times New Roman" w:hAnsi="Times New Roman" w:cs="Times New Roman"/>
          <w:sz w:val="24"/>
          <w:szCs w:val="24"/>
        </w:rPr>
        <w:t>a, b)</w:t>
      </w:r>
      <w:r w:rsidRPr="006550DC">
        <w:rPr>
          <w:rFonts w:ascii="Times New Roman" w:hAnsi="Times New Roman" w:cs="Times New Roman"/>
          <w:sz w:val="24"/>
          <w:szCs w:val="24"/>
        </w:rPr>
        <w:t>. En contraste con lo anterior, durante la temporada no reproductiva se presentaron rangos de temperatura máxima y mínima reducidos, que pueden estar relacionados con la distribución de los recursos</w:t>
      </w:r>
      <w:r>
        <w:rPr>
          <w:rFonts w:ascii="Times New Roman" w:hAnsi="Times New Roman" w:cs="Times New Roman"/>
          <w:sz w:val="24"/>
          <w:szCs w:val="24"/>
        </w:rPr>
        <w:t xml:space="preserve"> importantes en esta etapa para que las hembras alcancen un óptimo metabólico previo a la temporada de crianza así como para garantizar el éxito y supervivencia de la nidada (Selman y Houston, 1996;</w:t>
      </w:r>
      <w:r w:rsidRPr="006550DC">
        <w:rPr>
          <w:rFonts w:ascii="Times New Roman" w:hAnsi="Times New Roman" w:cs="Times New Roman"/>
          <w:sz w:val="24"/>
          <w:szCs w:val="24"/>
        </w:rPr>
        <w:t xml:space="preserve"> Robb et al. 2008</w:t>
      </w:r>
      <w:r>
        <w:rPr>
          <w:rFonts w:ascii="Times New Roman" w:hAnsi="Times New Roman" w:cs="Times New Roman"/>
          <w:sz w:val="24"/>
          <w:szCs w:val="24"/>
        </w:rPr>
        <w:t xml:space="preserve">; </w:t>
      </w:r>
      <w:r w:rsidRPr="006550DC">
        <w:rPr>
          <w:rFonts w:ascii="Times New Roman" w:hAnsi="Times New Roman" w:cs="Times New Roman"/>
          <w:sz w:val="24"/>
          <w:szCs w:val="24"/>
        </w:rPr>
        <w:t>Sorensen et al. 2009</w:t>
      </w:r>
      <w:r>
        <w:rPr>
          <w:rFonts w:ascii="Times New Roman" w:hAnsi="Times New Roman" w:cs="Times New Roman"/>
          <w:sz w:val="24"/>
          <w:szCs w:val="24"/>
        </w:rPr>
        <w:t>)</w:t>
      </w:r>
      <w:r w:rsidRPr="006550DC">
        <w:rPr>
          <w:rFonts w:ascii="Times New Roman" w:hAnsi="Times New Roman" w:cs="Times New Roman"/>
          <w:sz w:val="24"/>
          <w:szCs w:val="24"/>
        </w:rPr>
        <w:t xml:space="preserve">. </w:t>
      </w:r>
    </w:p>
    <w:p w14:paraId="6328D93E" w14:textId="77777777" w:rsidR="002C2257" w:rsidRPr="006550DC" w:rsidRDefault="002C2257" w:rsidP="002C2257">
      <w:pPr>
        <w:ind w:firstLine="708"/>
        <w:rPr>
          <w:rFonts w:ascii="Times New Roman" w:hAnsi="Times New Roman" w:cs="Times New Roman"/>
          <w:sz w:val="24"/>
          <w:szCs w:val="24"/>
        </w:rPr>
      </w:pPr>
      <w:r>
        <w:rPr>
          <w:rFonts w:ascii="Times New Roman" w:hAnsi="Times New Roman" w:cs="Times New Roman"/>
          <w:sz w:val="24"/>
          <w:szCs w:val="24"/>
        </w:rPr>
        <w:t xml:space="preserve">La </w:t>
      </w:r>
      <w:r w:rsidRPr="006550DC">
        <w:rPr>
          <w:rFonts w:ascii="Times New Roman" w:hAnsi="Times New Roman" w:cs="Times New Roman"/>
          <w:sz w:val="24"/>
          <w:szCs w:val="24"/>
        </w:rPr>
        <w:t>fragmentación de hábitat</w:t>
      </w:r>
      <w:r>
        <w:rPr>
          <w:rFonts w:ascii="Times New Roman" w:hAnsi="Times New Roman" w:cs="Times New Roman"/>
          <w:sz w:val="24"/>
          <w:szCs w:val="24"/>
        </w:rPr>
        <w:t xml:space="preserve"> influye en </w:t>
      </w:r>
      <w:r w:rsidRPr="006550DC">
        <w:rPr>
          <w:rFonts w:ascii="Times New Roman" w:hAnsi="Times New Roman" w:cs="Times New Roman"/>
          <w:sz w:val="24"/>
          <w:szCs w:val="24"/>
        </w:rPr>
        <w:t xml:space="preserve">la presencia de </w:t>
      </w:r>
      <w:r>
        <w:rPr>
          <w:rFonts w:ascii="Times New Roman" w:hAnsi="Times New Roman" w:cs="Times New Roman"/>
          <w:sz w:val="24"/>
          <w:szCs w:val="24"/>
        </w:rPr>
        <w:t>las</w:t>
      </w:r>
      <w:r w:rsidRPr="006550DC">
        <w:rPr>
          <w:rFonts w:ascii="Times New Roman" w:hAnsi="Times New Roman" w:cs="Times New Roman"/>
          <w:sz w:val="24"/>
          <w:szCs w:val="24"/>
        </w:rPr>
        <w:t xml:space="preserve"> especie</w:t>
      </w:r>
      <w:r>
        <w:rPr>
          <w:rFonts w:ascii="Times New Roman" w:hAnsi="Times New Roman" w:cs="Times New Roman"/>
          <w:sz w:val="24"/>
          <w:szCs w:val="24"/>
        </w:rPr>
        <w:t>s</w:t>
      </w:r>
      <w:r w:rsidRPr="006550DC">
        <w:rPr>
          <w:rFonts w:ascii="Times New Roman" w:hAnsi="Times New Roman" w:cs="Times New Roman"/>
          <w:sz w:val="24"/>
          <w:szCs w:val="24"/>
        </w:rPr>
        <w:t xml:space="preserve"> (Marín-Togo et al.2012)</w:t>
      </w:r>
      <w:r>
        <w:rPr>
          <w:rFonts w:ascii="Times New Roman" w:hAnsi="Times New Roman" w:cs="Times New Roman"/>
          <w:sz w:val="24"/>
          <w:szCs w:val="24"/>
        </w:rPr>
        <w:t xml:space="preserve"> por lo que sería</w:t>
      </w:r>
      <w:r w:rsidRPr="006550DC">
        <w:rPr>
          <w:rFonts w:ascii="Times New Roman" w:hAnsi="Times New Roman" w:cs="Times New Roman"/>
          <w:sz w:val="24"/>
          <w:szCs w:val="24"/>
        </w:rPr>
        <w:t xml:space="preserve"> preponderante analizar qué porcentaje del área </w:t>
      </w:r>
      <w:r>
        <w:rPr>
          <w:rFonts w:ascii="Times New Roman" w:hAnsi="Times New Roman" w:cs="Times New Roman"/>
          <w:sz w:val="24"/>
          <w:szCs w:val="24"/>
        </w:rPr>
        <w:t xml:space="preserve">aún </w:t>
      </w:r>
      <w:r w:rsidRPr="006550DC">
        <w:rPr>
          <w:rFonts w:ascii="Times New Roman" w:hAnsi="Times New Roman" w:cs="Times New Roman"/>
          <w:sz w:val="24"/>
          <w:szCs w:val="24"/>
        </w:rPr>
        <w:t>cuenta con cobertura vegetal durante el periodo reproductivo de</w:t>
      </w:r>
      <w:r>
        <w:rPr>
          <w:rFonts w:ascii="Times New Roman" w:hAnsi="Times New Roman" w:cs="Times New Roman"/>
          <w:sz w:val="24"/>
          <w:szCs w:val="24"/>
        </w:rPr>
        <w:t xml:space="preserve">l loro corona lila. Sin embargo, en este estudio, debido a que la aproximación es macroclimática, no se consideró el cambio de uso de suelo; por lo que en un futuro </w:t>
      </w:r>
      <w:r w:rsidRPr="006550DC">
        <w:rPr>
          <w:rFonts w:ascii="Times New Roman" w:hAnsi="Times New Roman" w:cs="Times New Roman"/>
          <w:sz w:val="24"/>
          <w:szCs w:val="24"/>
        </w:rPr>
        <w:t xml:space="preserve">es necesario </w:t>
      </w:r>
      <w:r>
        <w:rPr>
          <w:rFonts w:ascii="Times New Roman" w:hAnsi="Times New Roman" w:cs="Times New Roman"/>
          <w:sz w:val="24"/>
          <w:szCs w:val="24"/>
        </w:rPr>
        <w:t xml:space="preserve">considerar otras escalas más finas y mejorar así el planteamiento de estrategias de conservación. </w:t>
      </w:r>
      <w:r w:rsidRPr="006550DC">
        <w:rPr>
          <w:rFonts w:ascii="Times New Roman" w:hAnsi="Times New Roman" w:cs="Times New Roman"/>
          <w:sz w:val="24"/>
          <w:szCs w:val="24"/>
        </w:rPr>
        <w:t xml:space="preserve">Por ejemplo, se ha observado que la anidación de </w:t>
      </w:r>
      <w:r w:rsidRPr="006550DC">
        <w:rPr>
          <w:rFonts w:ascii="Times New Roman" w:hAnsi="Times New Roman" w:cs="Times New Roman"/>
          <w:i/>
          <w:sz w:val="24"/>
          <w:szCs w:val="24"/>
        </w:rPr>
        <w:t>A. finschi</w:t>
      </w:r>
      <w:r w:rsidRPr="006550DC">
        <w:rPr>
          <w:rFonts w:ascii="Times New Roman" w:hAnsi="Times New Roman" w:cs="Times New Roman"/>
          <w:sz w:val="24"/>
          <w:szCs w:val="24"/>
        </w:rPr>
        <w:t xml:space="preserve"> sucede entre los 25 y 600 msnm (Renton y Salinas-Melgoza, 1999; Ortega-Rodríguez y Monterrubio-Rico, 2008); sin embargo, en Michoacán el rango se ha reducido en zonas cercanas al nivel del mar ya que </w:t>
      </w:r>
      <w:r>
        <w:rPr>
          <w:rFonts w:ascii="Times New Roman" w:hAnsi="Times New Roman" w:cs="Times New Roman"/>
          <w:sz w:val="24"/>
          <w:szCs w:val="24"/>
        </w:rPr>
        <w:t xml:space="preserve">prácticamente </w:t>
      </w:r>
      <w:r w:rsidRPr="006550DC">
        <w:rPr>
          <w:rFonts w:ascii="Times New Roman" w:hAnsi="Times New Roman" w:cs="Times New Roman"/>
          <w:sz w:val="24"/>
          <w:szCs w:val="24"/>
        </w:rPr>
        <w:t>no existe cobertura vegetal original</w:t>
      </w:r>
      <w:r>
        <w:rPr>
          <w:rFonts w:ascii="Times New Roman" w:hAnsi="Times New Roman" w:cs="Times New Roman"/>
          <w:sz w:val="24"/>
          <w:szCs w:val="24"/>
        </w:rPr>
        <w:t>.</w:t>
      </w:r>
    </w:p>
    <w:p w14:paraId="31231CA8" w14:textId="77777777" w:rsidR="002C2257" w:rsidRPr="006550DC" w:rsidRDefault="002C2257" w:rsidP="002C2257">
      <w:pPr>
        <w:ind w:firstLine="708"/>
        <w:rPr>
          <w:rFonts w:ascii="Times New Roman" w:hAnsi="Times New Roman" w:cs="Times New Roman"/>
          <w:sz w:val="24"/>
          <w:szCs w:val="24"/>
        </w:rPr>
      </w:pPr>
      <w:r w:rsidRPr="006550DC">
        <w:rPr>
          <w:rFonts w:ascii="Times New Roman" w:hAnsi="Times New Roman" w:cs="Times New Roman"/>
          <w:sz w:val="24"/>
          <w:szCs w:val="24"/>
        </w:rPr>
        <w:t xml:space="preserve">El centro de la distribución de </w:t>
      </w:r>
      <w:r w:rsidRPr="006550DC">
        <w:rPr>
          <w:rFonts w:ascii="Times New Roman" w:hAnsi="Times New Roman" w:cs="Times New Roman"/>
          <w:i/>
          <w:sz w:val="24"/>
          <w:szCs w:val="24"/>
        </w:rPr>
        <w:t>A. finschi</w:t>
      </w:r>
      <w:r w:rsidRPr="006550DC">
        <w:rPr>
          <w:rFonts w:ascii="Times New Roman" w:hAnsi="Times New Roman" w:cs="Times New Roman"/>
          <w:sz w:val="24"/>
          <w:szCs w:val="24"/>
        </w:rPr>
        <w:t xml:space="preserve"> presenta en un mismo espacio geográfico</w:t>
      </w:r>
      <w:r>
        <w:rPr>
          <w:rFonts w:ascii="Times New Roman" w:hAnsi="Times New Roman" w:cs="Times New Roman"/>
          <w:sz w:val="24"/>
          <w:szCs w:val="24"/>
        </w:rPr>
        <w:t>,</w:t>
      </w:r>
      <w:r w:rsidRPr="006550DC">
        <w:rPr>
          <w:rFonts w:ascii="Times New Roman" w:hAnsi="Times New Roman" w:cs="Times New Roman"/>
          <w:sz w:val="24"/>
          <w:szCs w:val="24"/>
        </w:rPr>
        <w:t xml:space="preserve"> las condiciones de las que la especie hace uso durante la temporada seca y la temporada de lluvias,</w:t>
      </w:r>
      <w:r>
        <w:rPr>
          <w:rFonts w:ascii="Times New Roman" w:hAnsi="Times New Roman" w:cs="Times New Roman"/>
          <w:sz w:val="24"/>
          <w:szCs w:val="24"/>
        </w:rPr>
        <w:t>esto</w:t>
      </w:r>
      <w:r w:rsidRPr="006550DC">
        <w:rPr>
          <w:rFonts w:ascii="Times New Roman" w:hAnsi="Times New Roman" w:cs="Times New Roman"/>
          <w:sz w:val="24"/>
          <w:szCs w:val="24"/>
        </w:rPr>
        <w:t xml:space="preserve"> puede ser causante de la mayor abundancia de la especie descrita para esta zona (Renton e Iñigo-Elías, 2003). No obstante, hacia los extremos del rango de distribución las condiciones no se presentan en un mismo espacio geográfico,</w:t>
      </w:r>
      <w:r>
        <w:rPr>
          <w:rFonts w:ascii="Times New Roman" w:hAnsi="Times New Roman" w:cs="Times New Roman"/>
          <w:sz w:val="24"/>
          <w:szCs w:val="24"/>
        </w:rPr>
        <w:t>lo que en conjunto con la sensibilidad de la especie</w:t>
      </w:r>
      <w:r w:rsidRPr="006550DC">
        <w:rPr>
          <w:rFonts w:ascii="Times New Roman" w:hAnsi="Times New Roman" w:cs="Times New Roman"/>
          <w:sz w:val="24"/>
          <w:szCs w:val="24"/>
        </w:rPr>
        <w:t xml:space="preserve"> podría implicar </w:t>
      </w:r>
      <w:r>
        <w:rPr>
          <w:rFonts w:ascii="Times New Roman" w:hAnsi="Times New Roman" w:cs="Times New Roman"/>
          <w:sz w:val="24"/>
          <w:szCs w:val="24"/>
        </w:rPr>
        <w:t>una menor abundancia respectoa</w:t>
      </w:r>
      <w:r w:rsidRPr="006550DC">
        <w:rPr>
          <w:rFonts w:ascii="Times New Roman" w:hAnsi="Times New Roman" w:cs="Times New Roman"/>
          <w:sz w:val="24"/>
          <w:szCs w:val="24"/>
        </w:rPr>
        <w:t xml:space="preserve"> la zona centro. Lo anterior sugiere que las poblaciones extremas (en la zona sur y norte) están sujetas a una mayor presión,</w:t>
      </w:r>
      <w:r>
        <w:rPr>
          <w:rFonts w:ascii="Times New Roman" w:hAnsi="Times New Roman" w:cs="Times New Roman"/>
          <w:sz w:val="24"/>
          <w:szCs w:val="24"/>
        </w:rPr>
        <w:t xml:space="preserve"> lo que podría generar extinciones</w:t>
      </w:r>
      <w:r w:rsidRPr="006550DC">
        <w:rPr>
          <w:rFonts w:ascii="Times New Roman" w:hAnsi="Times New Roman" w:cs="Times New Roman"/>
          <w:sz w:val="24"/>
          <w:szCs w:val="24"/>
        </w:rPr>
        <w:t xml:space="preserve"> local</w:t>
      </w:r>
      <w:r>
        <w:rPr>
          <w:rFonts w:ascii="Times New Roman" w:hAnsi="Times New Roman" w:cs="Times New Roman"/>
          <w:sz w:val="24"/>
          <w:szCs w:val="24"/>
        </w:rPr>
        <w:t>es</w:t>
      </w:r>
      <w:r w:rsidRPr="006550DC">
        <w:rPr>
          <w:rFonts w:ascii="Times New Roman" w:hAnsi="Times New Roman" w:cs="Times New Roman"/>
          <w:sz w:val="24"/>
          <w:szCs w:val="24"/>
        </w:rPr>
        <w:t xml:space="preserve"> con mayor facilidad, como aparentemente ha sucedido en Oaxaca (Renton e Iñigo-Elías, 2003).</w:t>
      </w:r>
    </w:p>
    <w:p w14:paraId="2B0F198C" w14:textId="77777777" w:rsidR="002C2257" w:rsidRPr="006550DC" w:rsidRDefault="002C2257" w:rsidP="002C2257">
      <w:pPr>
        <w:ind w:firstLine="708"/>
        <w:rPr>
          <w:rFonts w:ascii="Times New Roman" w:hAnsi="Times New Roman" w:cs="Times New Roman"/>
          <w:sz w:val="24"/>
          <w:szCs w:val="24"/>
        </w:rPr>
      </w:pPr>
      <w:r w:rsidRPr="006550DC">
        <w:rPr>
          <w:rFonts w:ascii="Times New Roman" w:hAnsi="Times New Roman" w:cs="Times New Roman"/>
          <w:sz w:val="24"/>
          <w:szCs w:val="24"/>
        </w:rPr>
        <w:t>Finalmente, es necesario contextualizar que en este trabajo se presenta un panorama de la distribución macro-ecológica y geográfica de la especie, incluy</w:t>
      </w:r>
      <w:r>
        <w:rPr>
          <w:rFonts w:ascii="Times New Roman" w:hAnsi="Times New Roman" w:cs="Times New Roman"/>
          <w:sz w:val="24"/>
          <w:szCs w:val="24"/>
        </w:rPr>
        <w:t>endo una perspectiva estacional que permitirá entender las variaciones en la abundancia y conducta migratoria de la especie; lo que esperamos</w:t>
      </w:r>
      <w:r w:rsidRPr="006550DC">
        <w:rPr>
          <w:rFonts w:ascii="Times New Roman" w:hAnsi="Times New Roman" w:cs="Times New Roman"/>
          <w:sz w:val="24"/>
          <w:szCs w:val="24"/>
        </w:rPr>
        <w:t xml:space="preserve"> ayud</w:t>
      </w:r>
      <w:r>
        <w:rPr>
          <w:rFonts w:ascii="Times New Roman" w:hAnsi="Times New Roman" w:cs="Times New Roman"/>
          <w:sz w:val="24"/>
          <w:szCs w:val="24"/>
        </w:rPr>
        <w:t>e</w:t>
      </w:r>
      <w:r w:rsidRPr="006550DC">
        <w:rPr>
          <w:rFonts w:ascii="Times New Roman" w:hAnsi="Times New Roman" w:cs="Times New Roman"/>
          <w:sz w:val="24"/>
          <w:szCs w:val="24"/>
        </w:rPr>
        <w:t xml:space="preserve"> a mejorar las estrategias de conservación de esta y otras especies con patrones estacionales semejantes</w:t>
      </w:r>
      <w:r>
        <w:rPr>
          <w:rFonts w:ascii="Times New Roman" w:hAnsi="Times New Roman" w:cs="Times New Roman"/>
          <w:sz w:val="24"/>
          <w:szCs w:val="24"/>
        </w:rPr>
        <w:t>. Sin embargo, es necesario continuar los esfuerzos con estudios encaminados a</w:t>
      </w:r>
      <w:r w:rsidRPr="006550DC">
        <w:rPr>
          <w:rFonts w:ascii="Times New Roman" w:hAnsi="Times New Roman" w:cs="Times New Roman"/>
          <w:sz w:val="24"/>
          <w:szCs w:val="24"/>
        </w:rPr>
        <w:t xml:space="preserve"> evaluar aspectos demográficos, genéticos, así como de fragmentación y calidad de hábitat.</w:t>
      </w:r>
    </w:p>
    <w:p w14:paraId="7D53D264" w14:textId="77777777" w:rsidR="002C2257" w:rsidRDefault="002C2257" w:rsidP="002C2257">
      <w:pPr>
        <w:ind w:firstLine="0"/>
        <w:jc w:val="center"/>
        <w:rPr>
          <w:rFonts w:ascii="Times New Roman" w:hAnsi="Times New Roman" w:cs="Times New Roman"/>
          <w:sz w:val="24"/>
          <w:szCs w:val="24"/>
        </w:rPr>
      </w:pPr>
      <w:bookmarkStart w:id="10" w:name="_Toc422493146"/>
    </w:p>
    <w:p w14:paraId="13BB51EC" w14:textId="77777777" w:rsidR="002C2257" w:rsidRPr="006550DC" w:rsidRDefault="002C2257" w:rsidP="002C2257">
      <w:pPr>
        <w:ind w:firstLine="0"/>
        <w:jc w:val="center"/>
        <w:rPr>
          <w:rFonts w:ascii="Times New Roman" w:hAnsi="Times New Roman" w:cs="Times New Roman"/>
          <w:sz w:val="24"/>
          <w:szCs w:val="24"/>
        </w:rPr>
      </w:pPr>
      <w:r w:rsidRPr="006550DC">
        <w:rPr>
          <w:rFonts w:ascii="Times New Roman" w:hAnsi="Times New Roman" w:cs="Times New Roman"/>
          <w:sz w:val="24"/>
          <w:szCs w:val="24"/>
        </w:rPr>
        <w:t>AGRADECIMIENTOS</w:t>
      </w:r>
    </w:p>
    <w:p w14:paraId="14428D80" w14:textId="77777777" w:rsidR="002C2257" w:rsidRPr="006550DC" w:rsidRDefault="002C2257" w:rsidP="002C2257">
      <w:pPr>
        <w:ind w:firstLine="0"/>
        <w:rPr>
          <w:rFonts w:ascii="Times New Roman" w:hAnsi="Times New Roman" w:cs="Times New Roman"/>
          <w:sz w:val="24"/>
          <w:szCs w:val="24"/>
        </w:rPr>
      </w:pPr>
      <w:r w:rsidRPr="006550DC">
        <w:rPr>
          <w:rFonts w:ascii="Times New Roman" w:hAnsi="Times New Roman" w:cs="Times New Roman"/>
          <w:sz w:val="24"/>
          <w:szCs w:val="24"/>
        </w:rPr>
        <w:t>Agradecemos a la Dirección General de Investigaciones de la Universidad Veracruzana por la beca de apoyo al Sistema Nacional de Investigadores otorgada a Alejandro Sánchez Barradas con número de personal 43333 y a Cristel Álvarez-Castillo por el apoyo brindado en la edición de las figuras.</w:t>
      </w:r>
    </w:p>
    <w:p w14:paraId="583B14E8" w14:textId="77777777" w:rsidR="002C2257" w:rsidRPr="006550DC" w:rsidRDefault="002C2257" w:rsidP="002C2257">
      <w:pPr>
        <w:ind w:firstLine="0"/>
        <w:jc w:val="center"/>
        <w:rPr>
          <w:rFonts w:ascii="Times New Roman" w:hAnsi="Times New Roman" w:cs="Times New Roman"/>
          <w:sz w:val="24"/>
          <w:szCs w:val="24"/>
        </w:rPr>
      </w:pPr>
      <w:r w:rsidRPr="006550DC">
        <w:rPr>
          <w:rFonts w:ascii="Times New Roman" w:hAnsi="Times New Roman" w:cs="Times New Roman"/>
          <w:sz w:val="24"/>
          <w:szCs w:val="24"/>
        </w:rPr>
        <w:t>RESUMEN</w:t>
      </w:r>
    </w:p>
    <w:p w14:paraId="6D9DE4F7" w14:textId="77777777" w:rsidR="002C2257" w:rsidRPr="00C65FD3" w:rsidRDefault="002C2257" w:rsidP="002C2257">
      <w:pPr>
        <w:spacing w:before="100" w:beforeAutospacing="1" w:after="100" w:afterAutospacing="1"/>
        <w:ind w:firstLine="0"/>
        <w:jc w:val="left"/>
        <w:rPr>
          <w:rFonts w:ascii="Times New Roman" w:eastAsiaTheme="minorEastAsia" w:hAnsi="Times New Roman" w:cs="Times New Roman"/>
          <w:sz w:val="24"/>
          <w:szCs w:val="24"/>
          <w:lang w:eastAsia="es-MX"/>
        </w:rPr>
      </w:pPr>
      <w:r w:rsidRPr="008E035F">
        <w:rPr>
          <w:rFonts w:ascii="Times New Roman" w:eastAsiaTheme="minorEastAsia" w:hAnsi="Times New Roman" w:cs="Times New Roman"/>
          <w:b/>
          <w:sz w:val="24"/>
          <w:szCs w:val="24"/>
          <w:lang w:eastAsia="es-MX"/>
        </w:rPr>
        <w:t xml:space="preserve">Variación temporal en la distribución geográfica y ecológica del loro corona lila </w:t>
      </w:r>
      <w:r w:rsidRPr="008E035F">
        <w:rPr>
          <w:rFonts w:ascii="Times New Roman" w:eastAsiaTheme="minorEastAsia" w:hAnsi="Times New Roman" w:cs="Times New Roman"/>
          <w:i/>
          <w:sz w:val="24"/>
          <w:szCs w:val="24"/>
          <w:lang w:eastAsia="es-MX"/>
        </w:rPr>
        <w:t>Amazona finschi</w:t>
      </w:r>
      <w:r w:rsidRPr="008E035F">
        <w:rPr>
          <w:rFonts w:ascii="Times New Roman" w:eastAsiaTheme="minorEastAsia" w:hAnsi="Times New Roman" w:cs="Times New Roman"/>
          <w:b/>
          <w:sz w:val="24"/>
          <w:szCs w:val="24"/>
          <w:lang w:eastAsia="es-MX"/>
        </w:rPr>
        <w:t>, (Psittaciformes: Psittacidae).</w:t>
      </w:r>
      <w:r w:rsidRPr="008E035F">
        <w:rPr>
          <w:rFonts w:ascii="Times New Roman" w:eastAsiaTheme="minorEastAsia" w:hAnsi="Times New Roman" w:cs="Times New Roman"/>
          <w:sz w:val="24"/>
          <w:szCs w:val="24"/>
          <w:lang w:eastAsia="es-MX"/>
        </w:rPr>
        <w:t xml:space="preserve"> El loro corona lila (Amazona finschi) es una especie endémica de las tierras bajas de la costa del pacífico mexicano y está considerada en peligro.  Sin embargo, ha sido documentado que la especie presenta migraciones estacionales y altitudinales a lo largo de su rango geográfico, lo que sugiere que su distribución ecológica y temporal permanece incierta. Se modeló la distribución potencial del loro corona lila considerando sus dos principales periodos de actividad: reproductiva y no-reproductiva. Para esto combinamos 314 ocurrencias históricas con cinco coberturas ambientales: tres climáticas y dos topográficas para cada periodo. Se encontró una marcada estacionalidad en la distribución del loro corona lila. La especie presenta una mayor amplitud ecológica en términos de temperatura mínima durante la temporada reproductiva, pero una notable reducción en lo que se refiere a la precipitación. La distribución de los recursos de anidación y alimentación se corresponde en gran medida con la distribución del loro corona lila. En el centro del rango de distribución de la especie existe un área dónde se presentan las condiciones de las que la especie hace uso en ambas temporadas y en los periodos de transición entre estas. Finalmente, además de las implicaciones en la conservación de la especie, nuestros resultados acerca de la variación estacional en la distribución geográfica y ecológica del loro corona lila  son fundamentales en la comprensión de la distribución de otras especies, particularmente aquellas que se encuentran asociadas con ambientes altamente estacionales.</w:t>
      </w:r>
    </w:p>
    <w:p w14:paraId="5D65CC05" w14:textId="77777777" w:rsidR="002C2257" w:rsidRPr="006837D4" w:rsidRDefault="002C2257" w:rsidP="002C2257">
      <w:pPr>
        <w:pStyle w:val="NormalWeb"/>
        <w:spacing w:line="360" w:lineRule="auto"/>
      </w:pPr>
      <w:r w:rsidRPr="008E035F">
        <w:rPr>
          <w:b/>
        </w:rPr>
        <w:t xml:space="preserve">Palabras clave: </w:t>
      </w:r>
      <w:r w:rsidRPr="008E035F">
        <w:t>distribución estacional, temporada reproductiva, estacionalidad, loro corona lila, modelado, nicho ecológico, en peligro.</w:t>
      </w:r>
    </w:p>
    <w:p w14:paraId="2550B210" w14:textId="77777777" w:rsidR="002C2257" w:rsidRDefault="002C2257" w:rsidP="002C2257">
      <w:pPr>
        <w:ind w:firstLine="0"/>
        <w:jc w:val="center"/>
        <w:rPr>
          <w:rFonts w:ascii="Times New Roman" w:hAnsi="Times New Roman" w:cs="Times New Roman"/>
          <w:sz w:val="24"/>
          <w:szCs w:val="24"/>
        </w:rPr>
      </w:pPr>
    </w:p>
    <w:p w14:paraId="23CBC5EA" w14:textId="77777777" w:rsidR="002C2257" w:rsidRPr="006837D4" w:rsidRDefault="002C2257" w:rsidP="002C2257">
      <w:pPr>
        <w:ind w:firstLine="0"/>
        <w:jc w:val="center"/>
        <w:rPr>
          <w:rFonts w:ascii="Times New Roman" w:hAnsi="Times New Roman" w:cs="Times New Roman"/>
          <w:sz w:val="24"/>
          <w:szCs w:val="24"/>
        </w:rPr>
      </w:pPr>
      <w:r w:rsidRPr="006550DC">
        <w:rPr>
          <w:rFonts w:ascii="Times New Roman" w:hAnsi="Times New Roman" w:cs="Times New Roman"/>
          <w:sz w:val="24"/>
          <w:szCs w:val="24"/>
        </w:rPr>
        <w:t>LITERATURA CITADA</w:t>
      </w:r>
      <w:bookmarkEnd w:id="10"/>
    </w:p>
    <w:p w14:paraId="5B745B07"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Álvarez, M. (2010). Ecología y distribución potencial de la familia Psittacidae en una zona de transición templado-tropical del bajo Balsas, Michoacán. (Tesis de Licenciatura inédita). Universidad Michoacana de San Nicolás de Hidalgo.Hidalgo, México.</w:t>
      </w:r>
    </w:p>
    <w:p w14:paraId="19D4FE27"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Anderson, S. H. </w:t>
      </w:r>
      <w:r>
        <w:rPr>
          <w:rFonts w:ascii="Arial" w:hAnsi="Arial" w:cs="Arial"/>
          <w:bCs/>
          <w:sz w:val="24"/>
          <w:szCs w:val="24"/>
          <w:lang w:val="en-US"/>
        </w:rPr>
        <w:t>(</w:t>
      </w:r>
      <w:r w:rsidRPr="00BD6339">
        <w:rPr>
          <w:rFonts w:ascii="Arial" w:hAnsi="Arial" w:cs="Arial"/>
          <w:bCs/>
          <w:sz w:val="24"/>
          <w:szCs w:val="24"/>
          <w:lang w:val="en-US"/>
        </w:rPr>
        <w:t>1973</w:t>
      </w:r>
      <w:r>
        <w:rPr>
          <w:rFonts w:ascii="Arial" w:hAnsi="Arial" w:cs="Arial"/>
          <w:bCs/>
          <w:sz w:val="24"/>
          <w:szCs w:val="24"/>
          <w:lang w:val="en-US"/>
        </w:rPr>
        <w:t>)</w:t>
      </w:r>
      <w:r w:rsidRPr="00BD6339">
        <w:rPr>
          <w:rFonts w:ascii="Arial" w:hAnsi="Arial" w:cs="Arial"/>
          <w:bCs/>
          <w:sz w:val="24"/>
          <w:szCs w:val="24"/>
          <w:lang w:val="en-US"/>
        </w:rPr>
        <w:t xml:space="preserve">. Seasonal variation in forest birds of Western Oregon. </w:t>
      </w:r>
      <w:r w:rsidRPr="00147AE9">
        <w:rPr>
          <w:rFonts w:ascii="Arial" w:hAnsi="Arial" w:cs="Arial"/>
          <w:bCs/>
          <w:i/>
          <w:sz w:val="24"/>
          <w:szCs w:val="24"/>
          <w:lang w:val="en-US"/>
        </w:rPr>
        <w:t>Northwest</w:t>
      </w:r>
      <w:r w:rsidRPr="00BD6339">
        <w:rPr>
          <w:rFonts w:ascii="Arial" w:hAnsi="Arial" w:cs="Arial"/>
          <w:bCs/>
          <w:sz w:val="24"/>
          <w:szCs w:val="24"/>
          <w:lang w:val="en-US"/>
        </w:rPr>
        <w:t xml:space="preserve"> </w:t>
      </w:r>
      <w:r w:rsidRPr="00147AE9">
        <w:rPr>
          <w:rFonts w:ascii="Arial" w:hAnsi="Arial" w:cs="Arial"/>
          <w:bCs/>
          <w:i/>
          <w:sz w:val="24"/>
          <w:szCs w:val="24"/>
          <w:lang w:val="en-US"/>
        </w:rPr>
        <w:t>Science, 46:</w:t>
      </w:r>
      <w:r w:rsidRPr="00BD6339">
        <w:rPr>
          <w:rFonts w:ascii="Arial" w:hAnsi="Arial" w:cs="Arial"/>
          <w:bCs/>
          <w:sz w:val="24"/>
          <w:szCs w:val="24"/>
          <w:lang w:val="en-US"/>
        </w:rPr>
        <w:t xml:space="preserve"> 194–206.</w:t>
      </w:r>
    </w:p>
    <w:p w14:paraId="1B26D325" w14:textId="77777777" w:rsidR="002C2257" w:rsidRPr="005C5440" w:rsidRDefault="002C2257" w:rsidP="002C2257">
      <w:pPr>
        <w:autoSpaceDE w:val="0"/>
        <w:autoSpaceDN w:val="0"/>
        <w:adjustRightInd w:val="0"/>
        <w:spacing w:after="240"/>
        <w:ind w:firstLine="0"/>
        <w:jc w:val="left"/>
        <w:rPr>
          <w:rFonts w:ascii="Arial" w:hAnsi="Arial" w:cs="Arial"/>
          <w:bCs/>
          <w:sz w:val="24"/>
          <w:szCs w:val="24"/>
          <w:lang w:val="en-US"/>
        </w:rPr>
      </w:pPr>
      <w:r w:rsidRPr="005C5440">
        <w:rPr>
          <w:rFonts w:ascii="Arial" w:hAnsi="Arial" w:cs="Arial"/>
          <w:bCs/>
          <w:sz w:val="24"/>
          <w:szCs w:val="24"/>
          <w:lang w:val="en-US"/>
        </w:rPr>
        <w:t>Barve, N. (2008) Tool for Partial-ROC (</w:t>
      </w:r>
      <w:r w:rsidRPr="005C5440">
        <w:rPr>
          <w:rFonts w:ascii="Arial" w:hAnsi="Arial" w:cs="Arial"/>
          <w:bCs/>
          <w:i/>
          <w:sz w:val="24"/>
          <w:szCs w:val="24"/>
          <w:lang w:val="en-US"/>
        </w:rPr>
        <w:t>Biodiversity Institute</w:t>
      </w:r>
      <w:r w:rsidRPr="005C5440">
        <w:rPr>
          <w:rFonts w:ascii="Arial" w:hAnsi="Arial" w:cs="Arial"/>
          <w:bCs/>
          <w:sz w:val="24"/>
          <w:szCs w:val="24"/>
          <w:lang w:val="en-US"/>
        </w:rPr>
        <w:t>, Lawrence, KS), ver 1.0.</w:t>
      </w:r>
    </w:p>
    <w:p w14:paraId="3B7EF607"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Barve, N., Barve, V., Jiménez-Valverde, A., Lira-Noriega, A., Maher, S. P., Peterson, A. T.,y Villalobos, F. (2011). </w:t>
      </w:r>
      <w:r w:rsidRPr="00EF5FE8">
        <w:rPr>
          <w:rFonts w:ascii="Arial" w:hAnsi="Arial" w:cs="Arial"/>
          <w:bCs/>
          <w:sz w:val="24"/>
          <w:szCs w:val="24"/>
          <w:lang w:val="en-US"/>
        </w:rPr>
        <w:t xml:space="preserve">The crucial role of the accessible area in ecological niche modeling and species distribution modeling. </w:t>
      </w:r>
      <w:r w:rsidRPr="00EF5FE8">
        <w:rPr>
          <w:rFonts w:ascii="Arial" w:hAnsi="Arial" w:cs="Arial"/>
          <w:bCs/>
          <w:i/>
          <w:sz w:val="24"/>
          <w:szCs w:val="24"/>
        </w:rPr>
        <w:t>Ecological Modelling, 222</w:t>
      </w:r>
      <w:r w:rsidRPr="00EF5FE8">
        <w:rPr>
          <w:rFonts w:ascii="Arial" w:hAnsi="Arial" w:cs="Arial"/>
          <w:bCs/>
          <w:sz w:val="24"/>
          <w:szCs w:val="24"/>
        </w:rPr>
        <w:t xml:space="preserve">, 1810-1819. </w:t>
      </w:r>
    </w:p>
    <w:p w14:paraId="10B13E3E"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Boyle, W.A. </w:t>
      </w:r>
      <w:r>
        <w:rPr>
          <w:rFonts w:ascii="Arial" w:hAnsi="Arial" w:cs="Arial"/>
          <w:bCs/>
          <w:sz w:val="24"/>
          <w:szCs w:val="24"/>
          <w:lang w:val="en-US"/>
        </w:rPr>
        <w:t>(</w:t>
      </w:r>
      <w:r w:rsidRPr="00BD6339">
        <w:rPr>
          <w:rFonts w:ascii="Arial" w:hAnsi="Arial" w:cs="Arial"/>
          <w:bCs/>
          <w:sz w:val="24"/>
          <w:szCs w:val="24"/>
          <w:lang w:val="en-US"/>
        </w:rPr>
        <w:t>2008</w:t>
      </w:r>
      <w:r>
        <w:rPr>
          <w:rFonts w:ascii="Arial" w:hAnsi="Arial" w:cs="Arial"/>
          <w:bCs/>
          <w:sz w:val="24"/>
          <w:szCs w:val="24"/>
          <w:lang w:val="en-US"/>
        </w:rPr>
        <w:t>)</w:t>
      </w:r>
      <w:r w:rsidRPr="00BD6339">
        <w:rPr>
          <w:rFonts w:ascii="Arial" w:hAnsi="Arial" w:cs="Arial"/>
          <w:bCs/>
          <w:sz w:val="24"/>
          <w:szCs w:val="24"/>
          <w:lang w:val="en-US"/>
        </w:rPr>
        <w:t>. Partial migration in birds: tests of three hypotheses in a tropical lekking frugivore</w:t>
      </w:r>
      <w:r w:rsidRPr="00BD6339">
        <w:rPr>
          <w:rFonts w:ascii="Arial" w:hAnsi="Arial" w:cs="Arial"/>
          <w:bCs/>
          <w:i/>
          <w:iCs/>
          <w:sz w:val="24"/>
          <w:szCs w:val="24"/>
          <w:lang w:val="en-US"/>
        </w:rPr>
        <w:t xml:space="preserve">. </w:t>
      </w:r>
      <w:r w:rsidRPr="00147AE9">
        <w:rPr>
          <w:rFonts w:ascii="Arial" w:hAnsi="Arial" w:cs="Arial"/>
          <w:bCs/>
          <w:i/>
          <w:sz w:val="24"/>
          <w:szCs w:val="24"/>
          <w:lang w:val="en-US"/>
        </w:rPr>
        <w:t>Journal of Animal Ecology</w:t>
      </w:r>
      <w:r w:rsidRPr="00147AE9">
        <w:rPr>
          <w:rFonts w:ascii="Arial" w:hAnsi="Arial" w:cs="Arial"/>
          <w:bCs/>
          <w:i/>
          <w:iCs/>
          <w:sz w:val="24"/>
          <w:szCs w:val="24"/>
          <w:lang w:val="en-US"/>
        </w:rPr>
        <w:t xml:space="preserve">, </w:t>
      </w:r>
      <w:r w:rsidRPr="00147AE9">
        <w:rPr>
          <w:rFonts w:ascii="Arial" w:hAnsi="Arial" w:cs="Arial"/>
          <w:bCs/>
          <w:i/>
          <w:sz w:val="24"/>
          <w:szCs w:val="24"/>
          <w:lang w:val="en-US"/>
        </w:rPr>
        <w:t>77:</w:t>
      </w:r>
      <w:r w:rsidRPr="00BD6339">
        <w:rPr>
          <w:rFonts w:ascii="Arial" w:hAnsi="Arial" w:cs="Arial"/>
          <w:bCs/>
          <w:sz w:val="24"/>
          <w:szCs w:val="24"/>
          <w:lang w:val="en-US"/>
        </w:rPr>
        <w:t>1122</w:t>
      </w:r>
      <w:r w:rsidRPr="00BD6339">
        <w:rPr>
          <w:rFonts w:ascii="Arial" w:hAnsi="Arial" w:cs="Arial"/>
          <w:bCs/>
          <w:i/>
          <w:iCs/>
          <w:sz w:val="24"/>
          <w:szCs w:val="24"/>
          <w:lang w:val="en-US"/>
        </w:rPr>
        <w:t>–</w:t>
      </w:r>
      <w:r w:rsidRPr="00BD6339">
        <w:rPr>
          <w:rFonts w:ascii="Arial" w:hAnsi="Arial" w:cs="Arial"/>
          <w:bCs/>
          <w:sz w:val="24"/>
          <w:szCs w:val="24"/>
          <w:lang w:val="en-US"/>
        </w:rPr>
        <w:t>1128</w:t>
      </w:r>
      <w:r w:rsidRPr="00BD6339">
        <w:rPr>
          <w:rFonts w:ascii="Arial" w:hAnsi="Arial" w:cs="Arial"/>
          <w:bCs/>
          <w:i/>
          <w:iCs/>
          <w:sz w:val="24"/>
          <w:szCs w:val="24"/>
          <w:lang w:val="en-US"/>
        </w:rPr>
        <w:t>.</w:t>
      </w:r>
    </w:p>
    <w:p w14:paraId="7AAD7FE0"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Boyle, W.A. y C. J. Conway. </w:t>
      </w:r>
      <w:r>
        <w:rPr>
          <w:rFonts w:ascii="Arial" w:hAnsi="Arial" w:cs="Arial"/>
          <w:bCs/>
          <w:sz w:val="24"/>
          <w:szCs w:val="24"/>
          <w:lang w:val="en-US"/>
        </w:rPr>
        <w:t>(</w:t>
      </w:r>
      <w:r w:rsidRPr="00BD6339">
        <w:rPr>
          <w:rFonts w:ascii="Arial" w:hAnsi="Arial" w:cs="Arial"/>
          <w:bCs/>
          <w:sz w:val="24"/>
          <w:szCs w:val="24"/>
          <w:lang w:val="en-US"/>
        </w:rPr>
        <w:t>2007</w:t>
      </w:r>
      <w:r>
        <w:rPr>
          <w:rFonts w:ascii="Arial" w:hAnsi="Arial" w:cs="Arial"/>
          <w:bCs/>
          <w:sz w:val="24"/>
          <w:szCs w:val="24"/>
          <w:lang w:val="en-US"/>
        </w:rPr>
        <w:t>)</w:t>
      </w:r>
      <w:r w:rsidRPr="00BD6339">
        <w:rPr>
          <w:rFonts w:ascii="Arial" w:hAnsi="Arial" w:cs="Arial"/>
          <w:bCs/>
          <w:sz w:val="24"/>
          <w:szCs w:val="24"/>
          <w:lang w:val="en-US"/>
        </w:rPr>
        <w:t>. Why migrate? A test of the evolutionary precursor hypothesis</w:t>
      </w:r>
      <w:r w:rsidRPr="00BD6339">
        <w:rPr>
          <w:rFonts w:ascii="Arial" w:hAnsi="Arial" w:cs="Arial"/>
          <w:bCs/>
          <w:i/>
          <w:iCs/>
          <w:sz w:val="24"/>
          <w:szCs w:val="24"/>
          <w:lang w:val="en-US"/>
        </w:rPr>
        <w:t xml:space="preserve">. </w:t>
      </w:r>
      <w:r w:rsidRPr="00147AE9">
        <w:rPr>
          <w:rFonts w:ascii="Arial" w:hAnsi="Arial" w:cs="Arial"/>
          <w:bCs/>
          <w:i/>
          <w:sz w:val="24"/>
          <w:szCs w:val="24"/>
          <w:lang w:val="en-US"/>
        </w:rPr>
        <w:t>American Naturalist</w:t>
      </w:r>
      <w:r w:rsidRPr="00147AE9">
        <w:rPr>
          <w:rFonts w:ascii="Arial" w:hAnsi="Arial" w:cs="Arial"/>
          <w:bCs/>
          <w:i/>
          <w:iCs/>
          <w:sz w:val="24"/>
          <w:szCs w:val="24"/>
          <w:lang w:val="en-US"/>
        </w:rPr>
        <w:t>,</w:t>
      </w:r>
      <w:r w:rsidRPr="00147AE9">
        <w:rPr>
          <w:rFonts w:ascii="Arial" w:hAnsi="Arial" w:cs="Arial"/>
          <w:bCs/>
          <w:i/>
          <w:sz w:val="24"/>
          <w:szCs w:val="24"/>
          <w:lang w:val="en-US"/>
        </w:rPr>
        <w:t xml:space="preserve"> 169</w:t>
      </w:r>
      <w:r w:rsidRPr="00147AE9">
        <w:rPr>
          <w:rFonts w:ascii="Arial" w:hAnsi="Arial" w:cs="Arial"/>
          <w:bCs/>
          <w:i/>
          <w:iCs/>
          <w:sz w:val="24"/>
          <w:szCs w:val="24"/>
          <w:lang w:val="en-US"/>
        </w:rPr>
        <w:t>:</w:t>
      </w:r>
      <w:r w:rsidRPr="00BD6339">
        <w:rPr>
          <w:rFonts w:ascii="Arial" w:hAnsi="Arial" w:cs="Arial"/>
          <w:bCs/>
          <w:i/>
          <w:iCs/>
          <w:sz w:val="24"/>
          <w:szCs w:val="24"/>
          <w:lang w:val="en-US"/>
        </w:rPr>
        <w:t xml:space="preserve"> </w:t>
      </w:r>
      <w:r w:rsidRPr="00BD6339">
        <w:rPr>
          <w:rFonts w:ascii="Arial" w:hAnsi="Arial" w:cs="Arial"/>
          <w:bCs/>
          <w:sz w:val="24"/>
          <w:szCs w:val="24"/>
          <w:lang w:val="en-US"/>
        </w:rPr>
        <w:t>344</w:t>
      </w:r>
      <w:r w:rsidRPr="00BD6339">
        <w:rPr>
          <w:rFonts w:ascii="Arial" w:hAnsi="Arial" w:cs="Arial"/>
          <w:bCs/>
          <w:i/>
          <w:iCs/>
          <w:sz w:val="24"/>
          <w:szCs w:val="24"/>
          <w:lang w:val="en-US"/>
        </w:rPr>
        <w:t>–</w:t>
      </w:r>
      <w:r w:rsidRPr="00BD6339">
        <w:rPr>
          <w:rFonts w:ascii="Arial" w:hAnsi="Arial" w:cs="Arial"/>
          <w:bCs/>
          <w:sz w:val="24"/>
          <w:szCs w:val="24"/>
          <w:lang w:val="en-US"/>
        </w:rPr>
        <w:t>359</w:t>
      </w:r>
      <w:r w:rsidRPr="00BD6339">
        <w:rPr>
          <w:rFonts w:ascii="Arial" w:hAnsi="Arial" w:cs="Arial"/>
          <w:bCs/>
          <w:i/>
          <w:iCs/>
          <w:sz w:val="24"/>
          <w:szCs w:val="24"/>
          <w:lang w:val="en-US"/>
        </w:rPr>
        <w:t>.</w:t>
      </w:r>
    </w:p>
    <w:p w14:paraId="6D0FACC8"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Caula, S., P. Marty, y Martin J-L. </w:t>
      </w:r>
      <w:r>
        <w:rPr>
          <w:rFonts w:ascii="Arial" w:hAnsi="Arial" w:cs="Arial"/>
          <w:bCs/>
          <w:sz w:val="24"/>
          <w:szCs w:val="24"/>
          <w:lang w:val="en-US"/>
        </w:rPr>
        <w:t>(</w:t>
      </w:r>
      <w:r w:rsidRPr="00BD6339">
        <w:rPr>
          <w:rFonts w:ascii="Arial" w:hAnsi="Arial" w:cs="Arial"/>
          <w:bCs/>
          <w:sz w:val="24"/>
          <w:szCs w:val="24"/>
          <w:lang w:val="en-US"/>
        </w:rPr>
        <w:t>2008</w:t>
      </w:r>
      <w:r>
        <w:rPr>
          <w:rFonts w:ascii="Arial" w:hAnsi="Arial" w:cs="Arial"/>
          <w:bCs/>
          <w:sz w:val="24"/>
          <w:szCs w:val="24"/>
          <w:lang w:val="en-US"/>
        </w:rPr>
        <w:t>)</w:t>
      </w:r>
      <w:r w:rsidRPr="00BD6339">
        <w:rPr>
          <w:rFonts w:ascii="Arial" w:hAnsi="Arial" w:cs="Arial"/>
          <w:bCs/>
          <w:sz w:val="24"/>
          <w:szCs w:val="24"/>
          <w:lang w:val="en-US"/>
        </w:rPr>
        <w:t xml:space="preserve">. Seasonal variation in species composition of an urban bird community in Mediterranean France. </w:t>
      </w:r>
      <w:r w:rsidRPr="00147AE9">
        <w:rPr>
          <w:rFonts w:ascii="Arial" w:hAnsi="Arial" w:cs="Arial"/>
          <w:bCs/>
          <w:i/>
          <w:sz w:val="24"/>
          <w:szCs w:val="24"/>
          <w:lang w:val="en-US"/>
        </w:rPr>
        <w:t>Landscape and Urban Planning, 87:</w:t>
      </w:r>
      <w:r w:rsidRPr="00BD6339">
        <w:rPr>
          <w:rFonts w:ascii="Arial" w:hAnsi="Arial" w:cs="Arial"/>
          <w:bCs/>
          <w:sz w:val="24"/>
          <w:szCs w:val="24"/>
          <w:lang w:val="en-US"/>
        </w:rPr>
        <w:t xml:space="preserve"> 1–9.</w:t>
      </w:r>
    </w:p>
    <w:p w14:paraId="0D6470F7" w14:textId="77777777" w:rsidR="002C2257" w:rsidRDefault="002C2257" w:rsidP="002C2257">
      <w:pPr>
        <w:autoSpaceDE w:val="0"/>
        <w:autoSpaceDN w:val="0"/>
        <w:adjustRightInd w:val="0"/>
        <w:spacing w:after="240"/>
        <w:ind w:firstLine="0"/>
        <w:jc w:val="left"/>
        <w:rPr>
          <w:rFonts w:ascii="Arial" w:hAnsi="Arial" w:cs="Arial"/>
          <w:bCs/>
          <w:sz w:val="24"/>
          <w:szCs w:val="24"/>
          <w:lang w:val="en-US"/>
        </w:rPr>
      </w:pPr>
      <w:r>
        <w:rPr>
          <w:rFonts w:ascii="Arial" w:hAnsi="Arial" w:cs="Arial"/>
          <w:bCs/>
          <w:sz w:val="24"/>
          <w:szCs w:val="24"/>
        </w:rPr>
        <w:t>Codesido, M. y D.</w:t>
      </w:r>
      <w:r w:rsidRPr="00EF5FE8">
        <w:rPr>
          <w:rFonts w:ascii="Arial" w:hAnsi="Arial" w:cs="Arial"/>
          <w:bCs/>
          <w:sz w:val="24"/>
          <w:szCs w:val="24"/>
        </w:rPr>
        <w:t xml:space="preserve"> Bilenca </w:t>
      </w:r>
      <w:r>
        <w:rPr>
          <w:rFonts w:ascii="Arial" w:hAnsi="Arial" w:cs="Arial"/>
          <w:bCs/>
          <w:sz w:val="24"/>
          <w:szCs w:val="24"/>
        </w:rPr>
        <w:t>(</w:t>
      </w:r>
      <w:r w:rsidRPr="00EF5FE8">
        <w:rPr>
          <w:rFonts w:ascii="Arial" w:hAnsi="Arial" w:cs="Arial"/>
          <w:bCs/>
          <w:sz w:val="24"/>
          <w:szCs w:val="24"/>
        </w:rPr>
        <w:t>2004</w:t>
      </w:r>
      <w:r>
        <w:rPr>
          <w:rFonts w:ascii="Arial" w:hAnsi="Arial" w:cs="Arial"/>
          <w:bCs/>
          <w:sz w:val="24"/>
          <w:szCs w:val="24"/>
        </w:rPr>
        <w:t>)</w:t>
      </w:r>
      <w:r w:rsidRPr="00EF5FE8">
        <w:rPr>
          <w:rFonts w:ascii="Arial" w:hAnsi="Arial" w:cs="Arial"/>
          <w:bCs/>
          <w:sz w:val="24"/>
          <w:szCs w:val="24"/>
        </w:rPr>
        <w:t xml:space="preserve">. Variación Estacional de un Ensamble de Aves en un Bosque Subtropical Semiárido del Chaco Argentino. </w:t>
      </w:r>
      <w:r>
        <w:rPr>
          <w:rFonts w:ascii="Arial" w:hAnsi="Arial" w:cs="Arial"/>
          <w:bCs/>
          <w:i/>
          <w:sz w:val="24"/>
          <w:szCs w:val="24"/>
          <w:lang w:val="en-US"/>
        </w:rPr>
        <w:t>Biotropica</w:t>
      </w:r>
      <w:r w:rsidRPr="00147AE9">
        <w:rPr>
          <w:rFonts w:ascii="Arial" w:hAnsi="Arial" w:cs="Arial"/>
          <w:bCs/>
          <w:i/>
          <w:sz w:val="24"/>
          <w:szCs w:val="24"/>
          <w:lang w:val="en-US"/>
        </w:rPr>
        <w:t>, 36:</w:t>
      </w:r>
      <w:r w:rsidRPr="00BD6339">
        <w:rPr>
          <w:rFonts w:ascii="Arial" w:hAnsi="Arial" w:cs="Arial"/>
          <w:bCs/>
          <w:sz w:val="24"/>
          <w:szCs w:val="24"/>
          <w:lang w:val="en-US"/>
        </w:rPr>
        <w:t xml:space="preserve"> 544–554.</w:t>
      </w:r>
    </w:p>
    <w:p w14:paraId="614E7464"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de la Parra-Martínez, S. M. (2011). </w:t>
      </w:r>
      <w:r w:rsidRPr="00EF5FE8">
        <w:rPr>
          <w:rFonts w:ascii="Arial" w:hAnsi="Arial" w:cs="Arial"/>
          <w:bCs/>
          <w:i/>
          <w:sz w:val="24"/>
          <w:szCs w:val="24"/>
        </w:rPr>
        <w:t>Efecto de la variabilidad climática sobre la reproducción del loro corona lila</w:t>
      </w:r>
      <w:r w:rsidRPr="00EF5FE8">
        <w:rPr>
          <w:rFonts w:ascii="Arial" w:hAnsi="Arial" w:cs="Arial"/>
          <w:bCs/>
          <w:sz w:val="24"/>
          <w:szCs w:val="24"/>
        </w:rPr>
        <w:t xml:space="preserve"> (</w:t>
      </w:r>
      <w:r w:rsidRPr="00EF5FE8">
        <w:rPr>
          <w:rFonts w:ascii="Arial" w:hAnsi="Arial" w:cs="Arial"/>
          <w:bCs/>
          <w:i/>
          <w:sz w:val="24"/>
          <w:szCs w:val="24"/>
        </w:rPr>
        <w:t>Amazona finschi</w:t>
      </w:r>
      <w:r w:rsidRPr="00EF5FE8">
        <w:rPr>
          <w:rFonts w:ascii="Arial" w:hAnsi="Arial" w:cs="Arial"/>
          <w:bCs/>
          <w:sz w:val="24"/>
          <w:szCs w:val="24"/>
        </w:rPr>
        <w:t>). (Tesis de Maestría inédita). Universidad Nacional Autónoma de México. México, Distrito Federal.</w:t>
      </w:r>
    </w:p>
    <w:p w14:paraId="19D4172B"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rPr>
        <w:t>Diario Oficial de la Federación (D.O.F.).(2010). Secretaría de Medio Ambiente y Recursos Naturales (SEMARNAT). (</w:t>
      </w:r>
      <w:r w:rsidRPr="00EF5FE8">
        <w:rPr>
          <w:rFonts w:ascii="Arial" w:hAnsi="Arial" w:cs="Arial"/>
          <w:bCs/>
          <w:i/>
          <w:sz w:val="24"/>
          <w:szCs w:val="24"/>
        </w:rPr>
        <w:t>Protección ambiental-Especies Nativas de México de flora y fauna silvestres-Categorías de riesgo y especificaciones para su inclusión, exclusión o cambio-Lista de especies en riesgo)</w:t>
      </w:r>
      <w:r w:rsidRPr="00EF5FE8">
        <w:rPr>
          <w:rFonts w:ascii="Arial" w:hAnsi="Arial" w:cs="Arial"/>
          <w:bCs/>
          <w:sz w:val="24"/>
          <w:szCs w:val="24"/>
        </w:rPr>
        <w:t xml:space="preserve">. </w:t>
      </w:r>
      <w:r w:rsidRPr="00EF5FE8">
        <w:rPr>
          <w:rFonts w:ascii="Arial" w:hAnsi="Arial" w:cs="Arial"/>
          <w:bCs/>
          <w:sz w:val="24"/>
          <w:szCs w:val="24"/>
          <w:lang w:val="en-US"/>
        </w:rPr>
        <w:t>México, SEMARNAT.</w:t>
      </w:r>
    </w:p>
    <w:p w14:paraId="7889833E"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ESRI. (2011). ArcGIS Desktop. Redlands, CA: Environmental Systems Research Institute.</w:t>
      </w:r>
    </w:p>
    <w:p w14:paraId="4E7CCB52"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Forshaw, J. M. (1989). </w:t>
      </w:r>
      <w:r w:rsidRPr="00EF5FE8">
        <w:rPr>
          <w:rFonts w:ascii="Arial" w:hAnsi="Arial" w:cs="Arial"/>
          <w:bCs/>
          <w:i/>
          <w:sz w:val="24"/>
          <w:szCs w:val="24"/>
          <w:lang w:val="en-US"/>
        </w:rPr>
        <w:t>Parrots of the World</w:t>
      </w:r>
      <w:r w:rsidRPr="00EF5FE8">
        <w:rPr>
          <w:rFonts w:ascii="Arial" w:hAnsi="Arial" w:cs="Arial"/>
          <w:bCs/>
          <w:sz w:val="24"/>
          <w:szCs w:val="24"/>
          <w:lang w:val="en-US"/>
        </w:rPr>
        <w:t xml:space="preserve"> (3a. ed.). Australia:Lansdowne Editions.</w:t>
      </w:r>
    </w:p>
    <w:p w14:paraId="2490F4EA"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lang w:val="en-US"/>
        </w:rPr>
        <w:t>Friedmann, H., Griscom,L.,y</w:t>
      </w:r>
      <w:r>
        <w:rPr>
          <w:rFonts w:ascii="Arial" w:hAnsi="Arial" w:cs="Arial"/>
          <w:bCs/>
          <w:sz w:val="24"/>
          <w:szCs w:val="24"/>
          <w:lang w:val="en-US"/>
        </w:rPr>
        <w:t xml:space="preserve"> </w:t>
      </w:r>
      <w:r w:rsidRPr="00EF5FE8">
        <w:rPr>
          <w:rFonts w:ascii="Arial" w:hAnsi="Arial" w:cs="Arial"/>
          <w:bCs/>
          <w:sz w:val="24"/>
          <w:szCs w:val="24"/>
          <w:lang w:val="en-US"/>
        </w:rPr>
        <w:t xml:space="preserve">Moore, R. T. (1950). Distributional Check-List of the Birds of Mexico. </w:t>
      </w:r>
      <w:r w:rsidRPr="00EF5FE8">
        <w:rPr>
          <w:rFonts w:ascii="Arial" w:hAnsi="Arial" w:cs="Arial"/>
          <w:bCs/>
          <w:i/>
          <w:sz w:val="24"/>
          <w:szCs w:val="24"/>
        </w:rPr>
        <w:t>Pacific Coast Avifauna, 29</w:t>
      </w:r>
      <w:r w:rsidRPr="00EF5FE8">
        <w:rPr>
          <w:rFonts w:ascii="Arial" w:hAnsi="Arial" w:cs="Arial"/>
          <w:bCs/>
          <w:sz w:val="24"/>
          <w:szCs w:val="24"/>
        </w:rPr>
        <w:t>, 1-102.</w:t>
      </w:r>
    </w:p>
    <w:p w14:paraId="68106C9A"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García-Trejo, E., y Navarro-Sigüenza, A. (2004). Patrones biogeográficos de la riqueza de especies y el endemismo de la avifauna en el oeste de México. </w:t>
      </w:r>
      <w:r w:rsidRPr="00EF5FE8">
        <w:rPr>
          <w:rFonts w:ascii="Arial" w:hAnsi="Arial" w:cs="Arial"/>
          <w:bCs/>
          <w:i/>
          <w:sz w:val="24"/>
          <w:szCs w:val="24"/>
        </w:rPr>
        <w:t>Acta Zoológica Mexicana, 20</w:t>
      </w:r>
      <w:r w:rsidRPr="00EF5FE8">
        <w:rPr>
          <w:rFonts w:ascii="Arial" w:hAnsi="Arial" w:cs="Arial"/>
          <w:bCs/>
          <w:sz w:val="24"/>
          <w:szCs w:val="24"/>
        </w:rPr>
        <w:t>, 167-185.</w:t>
      </w:r>
    </w:p>
    <w:p w14:paraId="5923479B"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Gómez de Silva, H., Oliveras de Ita, A. y Medellín, R. A. (2005). Comisión Nacional para el Conocimiento de la Biodiversidad. (</w:t>
      </w:r>
      <w:r w:rsidRPr="00EF5FE8">
        <w:rPr>
          <w:rFonts w:ascii="Arial" w:hAnsi="Arial" w:cs="Arial"/>
          <w:bCs/>
          <w:i/>
          <w:sz w:val="24"/>
          <w:szCs w:val="24"/>
        </w:rPr>
        <w:t>Amazona albifrons</w:t>
      </w:r>
      <w:r w:rsidRPr="00EF5FE8">
        <w:rPr>
          <w:rFonts w:ascii="Arial" w:hAnsi="Arial" w:cs="Arial"/>
          <w:bCs/>
          <w:sz w:val="24"/>
          <w:szCs w:val="24"/>
        </w:rPr>
        <w:t>). Vertebrados superiores exóticos en México: diversidad, distribución y efectos potenciales). México, Distrito Federal, Instituto de Ecología, UNAM.</w:t>
      </w:r>
    </w:p>
    <w:p w14:paraId="397EE238"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Gómez de Silva, H., Oliveras de Ita, A. yMedellín, R. A. (2005). Comisión Nacional para el Conocimiento de la Biodiversidad. (</w:t>
      </w:r>
      <w:r w:rsidRPr="00EF5FE8">
        <w:rPr>
          <w:rFonts w:ascii="Arial" w:hAnsi="Arial" w:cs="Arial"/>
          <w:bCs/>
          <w:i/>
          <w:sz w:val="24"/>
          <w:szCs w:val="24"/>
        </w:rPr>
        <w:t>Amazona autumnalis</w:t>
      </w:r>
      <w:r w:rsidRPr="00EF5FE8">
        <w:rPr>
          <w:rFonts w:ascii="Arial" w:hAnsi="Arial" w:cs="Arial"/>
          <w:bCs/>
          <w:sz w:val="24"/>
          <w:szCs w:val="24"/>
        </w:rPr>
        <w:t>). Vertebrados superiores exóticos en México: diversidad, distribución y efectos potenciales).México,Distrito Federal, Instituto de Ecología, UNAM.</w:t>
      </w:r>
    </w:p>
    <w:p w14:paraId="53B9612C"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Herrera, C. M. </w:t>
      </w:r>
      <w:r>
        <w:rPr>
          <w:rFonts w:ascii="Arial" w:hAnsi="Arial" w:cs="Arial"/>
          <w:bCs/>
          <w:sz w:val="24"/>
          <w:szCs w:val="24"/>
          <w:lang w:val="en-US"/>
        </w:rPr>
        <w:t>(</w:t>
      </w:r>
      <w:r w:rsidRPr="00BD6339">
        <w:rPr>
          <w:rFonts w:ascii="Arial" w:hAnsi="Arial" w:cs="Arial"/>
          <w:bCs/>
          <w:sz w:val="24"/>
          <w:szCs w:val="24"/>
          <w:lang w:val="en-US"/>
        </w:rPr>
        <w:t>1978</w:t>
      </w:r>
      <w:r>
        <w:rPr>
          <w:rFonts w:ascii="Arial" w:hAnsi="Arial" w:cs="Arial"/>
          <w:bCs/>
          <w:sz w:val="24"/>
          <w:szCs w:val="24"/>
          <w:lang w:val="en-US"/>
        </w:rPr>
        <w:t>)</w:t>
      </w:r>
      <w:r w:rsidRPr="00BD6339">
        <w:rPr>
          <w:rFonts w:ascii="Arial" w:hAnsi="Arial" w:cs="Arial"/>
          <w:bCs/>
          <w:sz w:val="24"/>
          <w:szCs w:val="24"/>
          <w:lang w:val="en-US"/>
        </w:rPr>
        <w:t xml:space="preserve">. Ecological correlates of residence and non-residence in a Mediterranean passerine bird community. </w:t>
      </w:r>
      <w:r w:rsidRPr="00147AE9">
        <w:rPr>
          <w:rFonts w:ascii="Arial" w:hAnsi="Arial" w:cs="Arial"/>
          <w:bCs/>
          <w:i/>
          <w:sz w:val="24"/>
          <w:szCs w:val="24"/>
          <w:lang w:val="en-US"/>
        </w:rPr>
        <w:t>Journal of Animal Ecology, 47</w:t>
      </w:r>
      <w:r w:rsidRPr="00BD6339">
        <w:rPr>
          <w:rFonts w:ascii="Arial" w:hAnsi="Arial" w:cs="Arial"/>
          <w:bCs/>
          <w:sz w:val="24"/>
          <w:szCs w:val="24"/>
          <w:lang w:val="en-US"/>
        </w:rPr>
        <w:t>: 871-890.</w:t>
      </w:r>
    </w:p>
    <w:p w14:paraId="09D1C53B"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5C5440">
        <w:rPr>
          <w:rFonts w:ascii="Arial" w:hAnsi="Arial" w:cs="Arial"/>
          <w:sz w:val="24"/>
          <w:szCs w:val="24"/>
          <w:lang w:val="en-US"/>
        </w:rPr>
        <w:t>Hijmans, R. J., Cameron, S. E., Parra, J. L., Jones, P. G.,y Jarvis, A. (2005).</w:t>
      </w:r>
      <w:r w:rsidRPr="00EF5FE8">
        <w:rPr>
          <w:rFonts w:ascii="Arial" w:hAnsi="Arial" w:cs="Arial"/>
          <w:sz w:val="24"/>
          <w:szCs w:val="24"/>
          <w:lang w:val="en-US"/>
        </w:rPr>
        <w:t xml:space="preserve">Very high resolution interpolated climate surfaces for global land areas. </w:t>
      </w:r>
      <w:r w:rsidRPr="00EF5FE8">
        <w:rPr>
          <w:rFonts w:ascii="Arial" w:hAnsi="Arial" w:cs="Arial"/>
          <w:i/>
          <w:sz w:val="24"/>
          <w:szCs w:val="24"/>
          <w:lang w:val="en-US"/>
        </w:rPr>
        <w:t>International Journal of Climatology, 25</w:t>
      </w:r>
      <w:r w:rsidRPr="00EF5FE8">
        <w:rPr>
          <w:rFonts w:ascii="Arial" w:hAnsi="Arial" w:cs="Arial"/>
          <w:sz w:val="24"/>
          <w:szCs w:val="24"/>
          <w:lang w:val="en-US"/>
        </w:rPr>
        <w:t>, 1965</w:t>
      </w:r>
      <w:r w:rsidRPr="00EF5FE8">
        <w:rPr>
          <w:rFonts w:ascii="Arial" w:hAnsi="Arial" w:cs="Arial"/>
          <w:bCs/>
          <w:sz w:val="24"/>
          <w:szCs w:val="24"/>
          <w:lang w:val="en-US"/>
        </w:rPr>
        <w:t>-</w:t>
      </w:r>
      <w:r w:rsidRPr="00EF5FE8">
        <w:rPr>
          <w:rFonts w:ascii="Arial" w:hAnsi="Arial" w:cs="Arial"/>
          <w:sz w:val="24"/>
          <w:szCs w:val="24"/>
          <w:lang w:val="en-US"/>
        </w:rPr>
        <w:t>1978.</w:t>
      </w:r>
    </w:p>
    <w:p w14:paraId="4F881FA8"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Hilty, S. L. </w:t>
      </w:r>
      <w:r>
        <w:rPr>
          <w:rFonts w:ascii="Arial" w:hAnsi="Arial" w:cs="Arial"/>
          <w:bCs/>
          <w:sz w:val="24"/>
          <w:szCs w:val="24"/>
          <w:lang w:val="en-US"/>
        </w:rPr>
        <w:t>(</w:t>
      </w:r>
      <w:r w:rsidRPr="00BD6339">
        <w:rPr>
          <w:rFonts w:ascii="Arial" w:hAnsi="Arial" w:cs="Arial"/>
          <w:bCs/>
          <w:sz w:val="24"/>
          <w:szCs w:val="24"/>
          <w:lang w:val="en-US"/>
        </w:rPr>
        <w:t>1997</w:t>
      </w:r>
      <w:r>
        <w:rPr>
          <w:rFonts w:ascii="Arial" w:hAnsi="Arial" w:cs="Arial"/>
          <w:bCs/>
          <w:sz w:val="24"/>
          <w:szCs w:val="24"/>
          <w:lang w:val="en-US"/>
        </w:rPr>
        <w:t>)</w:t>
      </w:r>
      <w:r w:rsidRPr="00BD6339">
        <w:rPr>
          <w:rFonts w:ascii="Arial" w:hAnsi="Arial" w:cs="Arial"/>
          <w:bCs/>
          <w:sz w:val="24"/>
          <w:szCs w:val="24"/>
          <w:lang w:val="en-US"/>
        </w:rPr>
        <w:t xml:space="preserve">. Seasonal distribution of birds at a cloud-forest locality, the Anchicayá Valley, in western Colombia. </w:t>
      </w:r>
      <w:r w:rsidRPr="00147AE9">
        <w:rPr>
          <w:rFonts w:ascii="Arial" w:hAnsi="Arial" w:cs="Arial"/>
          <w:bCs/>
          <w:i/>
          <w:sz w:val="24"/>
          <w:szCs w:val="24"/>
          <w:lang w:val="en-US"/>
        </w:rPr>
        <w:t>Ornithological Monographs, 48:</w:t>
      </w:r>
      <w:r>
        <w:rPr>
          <w:rFonts w:ascii="Arial" w:hAnsi="Arial" w:cs="Arial"/>
          <w:bCs/>
          <w:sz w:val="24"/>
          <w:szCs w:val="24"/>
          <w:lang w:val="en-US"/>
        </w:rPr>
        <w:t xml:space="preserve"> </w:t>
      </w:r>
      <w:r w:rsidRPr="00BD6339">
        <w:rPr>
          <w:rFonts w:ascii="Arial" w:hAnsi="Arial" w:cs="Arial"/>
          <w:bCs/>
          <w:sz w:val="24"/>
          <w:szCs w:val="24"/>
          <w:lang w:val="en-US"/>
        </w:rPr>
        <w:t>321–343.</w:t>
      </w:r>
    </w:p>
    <w:p w14:paraId="343344DA"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lang w:val="en-US"/>
        </w:rPr>
        <w:t xml:space="preserve">Howell, S., y Webb, S. (1995). </w:t>
      </w:r>
      <w:r w:rsidRPr="00EF5FE8">
        <w:rPr>
          <w:rFonts w:ascii="Arial" w:hAnsi="Arial" w:cs="Arial"/>
          <w:bCs/>
          <w:i/>
          <w:sz w:val="24"/>
          <w:szCs w:val="24"/>
          <w:lang w:val="en-US"/>
        </w:rPr>
        <w:t>A Field Guide to the Birds of Mexico and Northern Central America</w:t>
      </w:r>
      <w:r w:rsidRPr="00EF5FE8">
        <w:rPr>
          <w:rFonts w:ascii="Arial" w:hAnsi="Arial" w:cs="Arial"/>
          <w:bCs/>
          <w:sz w:val="24"/>
          <w:szCs w:val="24"/>
          <w:lang w:val="en-US"/>
        </w:rPr>
        <w:t xml:space="preserve"> (1a. ed.). </w:t>
      </w:r>
      <w:r w:rsidRPr="00EF5FE8">
        <w:rPr>
          <w:rFonts w:ascii="Arial" w:hAnsi="Arial" w:cs="Arial"/>
          <w:bCs/>
          <w:sz w:val="24"/>
          <w:szCs w:val="24"/>
        </w:rPr>
        <w:t>USA: Oxford University Press.</w:t>
      </w:r>
    </w:p>
    <w:p w14:paraId="2DE52A5A"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Karr, J. R. </w:t>
      </w:r>
      <w:r>
        <w:rPr>
          <w:rFonts w:ascii="Arial" w:hAnsi="Arial" w:cs="Arial"/>
          <w:bCs/>
          <w:sz w:val="24"/>
          <w:szCs w:val="24"/>
          <w:lang w:val="en-US"/>
        </w:rPr>
        <w:t>(</w:t>
      </w:r>
      <w:r w:rsidRPr="00BD6339">
        <w:rPr>
          <w:rFonts w:ascii="Arial" w:hAnsi="Arial" w:cs="Arial"/>
          <w:bCs/>
          <w:sz w:val="24"/>
          <w:szCs w:val="24"/>
          <w:lang w:val="en-US"/>
        </w:rPr>
        <w:t>1976</w:t>
      </w:r>
      <w:r>
        <w:rPr>
          <w:rFonts w:ascii="Arial" w:hAnsi="Arial" w:cs="Arial"/>
          <w:bCs/>
          <w:sz w:val="24"/>
          <w:szCs w:val="24"/>
          <w:lang w:val="en-US"/>
        </w:rPr>
        <w:t>)</w:t>
      </w:r>
      <w:r w:rsidRPr="00BD6339">
        <w:rPr>
          <w:rFonts w:ascii="Arial" w:hAnsi="Arial" w:cs="Arial"/>
          <w:bCs/>
          <w:sz w:val="24"/>
          <w:szCs w:val="24"/>
          <w:lang w:val="en-US"/>
        </w:rPr>
        <w:t xml:space="preserve">. Seasonality, resource availability, and community diversity in tropical bird communities. </w:t>
      </w:r>
      <w:r w:rsidRPr="0004541D">
        <w:rPr>
          <w:rFonts w:ascii="Arial" w:hAnsi="Arial" w:cs="Arial"/>
          <w:bCs/>
          <w:i/>
          <w:sz w:val="24"/>
          <w:szCs w:val="24"/>
          <w:lang w:val="en-US"/>
        </w:rPr>
        <w:t>American Naturalist, 110:</w:t>
      </w:r>
      <w:r w:rsidRPr="00BD6339">
        <w:rPr>
          <w:rFonts w:ascii="Arial" w:hAnsi="Arial" w:cs="Arial"/>
          <w:bCs/>
          <w:sz w:val="24"/>
          <w:szCs w:val="24"/>
          <w:lang w:val="en-US"/>
        </w:rPr>
        <w:t xml:space="preserve"> 973–994.</w:t>
      </w:r>
    </w:p>
    <w:p w14:paraId="4B96794A"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5C5440">
        <w:rPr>
          <w:rFonts w:ascii="Arial" w:hAnsi="Arial" w:cs="Arial"/>
          <w:bCs/>
          <w:sz w:val="24"/>
          <w:szCs w:val="24"/>
          <w:lang w:val="en-US"/>
        </w:rPr>
        <w:t xml:space="preserve">Leitner, S., C. Voigt y M. Gahr. </w:t>
      </w:r>
      <w:r>
        <w:rPr>
          <w:rFonts w:ascii="Arial" w:hAnsi="Arial" w:cs="Arial"/>
          <w:bCs/>
          <w:sz w:val="24"/>
          <w:szCs w:val="24"/>
          <w:lang w:val="en-US"/>
        </w:rPr>
        <w:t>(</w:t>
      </w:r>
      <w:r w:rsidRPr="005C5440">
        <w:rPr>
          <w:rFonts w:ascii="Arial" w:hAnsi="Arial" w:cs="Arial"/>
          <w:bCs/>
          <w:sz w:val="24"/>
          <w:szCs w:val="24"/>
          <w:lang w:val="en-US"/>
        </w:rPr>
        <w:t>2001</w:t>
      </w:r>
      <w:r>
        <w:rPr>
          <w:rFonts w:ascii="Arial" w:hAnsi="Arial" w:cs="Arial"/>
          <w:bCs/>
          <w:sz w:val="24"/>
          <w:szCs w:val="24"/>
          <w:lang w:val="en-US"/>
        </w:rPr>
        <w:t>)</w:t>
      </w:r>
      <w:r w:rsidRPr="005C5440">
        <w:rPr>
          <w:rFonts w:ascii="Arial" w:hAnsi="Arial" w:cs="Arial"/>
          <w:bCs/>
          <w:sz w:val="24"/>
          <w:szCs w:val="24"/>
          <w:lang w:val="en-US"/>
        </w:rPr>
        <w:t xml:space="preserve">. </w:t>
      </w:r>
      <w:r w:rsidRPr="00BD6339">
        <w:rPr>
          <w:rFonts w:ascii="Arial" w:hAnsi="Arial" w:cs="Arial"/>
          <w:bCs/>
          <w:sz w:val="24"/>
          <w:szCs w:val="24"/>
          <w:lang w:val="en-US"/>
        </w:rPr>
        <w:t xml:space="preserve">Seasonal changes in the song pattern of the non-domesticated island canary (Serinus canaria), a field study. </w:t>
      </w:r>
      <w:r w:rsidRPr="0004541D">
        <w:rPr>
          <w:rFonts w:ascii="Arial" w:hAnsi="Arial" w:cs="Arial"/>
          <w:bCs/>
          <w:i/>
          <w:sz w:val="24"/>
          <w:szCs w:val="24"/>
          <w:lang w:val="en-US"/>
        </w:rPr>
        <w:t>Behaviour, 138:</w:t>
      </w:r>
      <w:r w:rsidRPr="00BD6339">
        <w:rPr>
          <w:rFonts w:ascii="Arial" w:hAnsi="Arial" w:cs="Arial"/>
          <w:bCs/>
          <w:sz w:val="24"/>
          <w:szCs w:val="24"/>
          <w:lang w:val="en-US"/>
        </w:rPr>
        <w:t xml:space="preserve"> 885–904.</w:t>
      </w:r>
    </w:p>
    <w:p w14:paraId="66B7E75E"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Liknes, E.T. y D. L. Swanson. </w:t>
      </w:r>
      <w:r>
        <w:rPr>
          <w:rFonts w:ascii="Arial" w:hAnsi="Arial" w:cs="Arial"/>
          <w:bCs/>
          <w:sz w:val="24"/>
          <w:szCs w:val="24"/>
          <w:lang w:val="en-US"/>
        </w:rPr>
        <w:t>(</w:t>
      </w:r>
      <w:r w:rsidRPr="00BD6339">
        <w:rPr>
          <w:rFonts w:ascii="Arial" w:hAnsi="Arial" w:cs="Arial"/>
          <w:bCs/>
          <w:sz w:val="24"/>
          <w:szCs w:val="24"/>
          <w:lang w:val="en-US"/>
        </w:rPr>
        <w:t>2011</w:t>
      </w:r>
      <w:r>
        <w:rPr>
          <w:rFonts w:ascii="Arial" w:hAnsi="Arial" w:cs="Arial"/>
          <w:bCs/>
          <w:sz w:val="24"/>
          <w:szCs w:val="24"/>
          <w:lang w:val="en-US"/>
        </w:rPr>
        <w:t>)</w:t>
      </w:r>
      <w:r w:rsidRPr="00BD6339">
        <w:rPr>
          <w:rFonts w:ascii="Arial" w:hAnsi="Arial" w:cs="Arial"/>
          <w:bCs/>
          <w:sz w:val="24"/>
          <w:szCs w:val="24"/>
          <w:lang w:val="en-US"/>
        </w:rPr>
        <w:t xml:space="preserve">. Phenotypic flexibility in passerine birds: Seasonal variation of aerobic enzyme activities in skeletal muscle. </w:t>
      </w:r>
      <w:r w:rsidRPr="0004541D">
        <w:rPr>
          <w:rFonts w:ascii="Arial" w:hAnsi="Arial" w:cs="Arial"/>
          <w:bCs/>
          <w:i/>
          <w:sz w:val="24"/>
          <w:szCs w:val="24"/>
          <w:lang w:val="en-US"/>
        </w:rPr>
        <w:t>Journal of Thermal Biology, 36:</w:t>
      </w:r>
      <w:r w:rsidRPr="00BD6339">
        <w:rPr>
          <w:rFonts w:ascii="Arial" w:hAnsi="Arial" w:cs="Arial"/>
          <w:bCs/>
          <w:sz w:val="24"/>
          <w:szCs w:val="24"/>
          <w:lang w:val="en-US"/>
        </w:rPr>
        <w:t xml:space="preserve"> 430–436.</w:t>
      </w:r>
    </w:p>
    <w:p w14:paraId="3833F909"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Loiselle, B. A. and J. G. Blake. </w:t>
      </w:r>
      <w:r>
        <w:rPr>
          <w:rFonts w:ascii="Arial" w:hAnsi="Arial" w:cs="Arial"/>
          <w:bCs/>
          <w:sz w:val="24"/>
          <w:szCs w:val="24"/>
          <w:lang w:val="en-US"/>
        </w:rPr>
        <w:t>(</w:t>
      </w:r>
      <w:r w:rsidRPr="00BD6339">
        <w:rPr>
          <w:rFonts w:ascii="Arial" w:hAnsi="Arial" w:cs="Arial"/>
          <w:bCs/>
          <w:sz w:val="24"/>
          <w:szCs w:val="24"/>
          <w:lang w:val="en-US"/>
        </w:rPr>
        <w:t>1991</w:t>
      </w:r>
      <w:r>
        <w:rPr>
          <w:rFonts w:ascii="Arial" w:hAnsi="Arial" w:cs="Arial"/>
          <w:bCs/>
          <w:sz w:val="24"/>
          <w:szCs w:val="24"/>
          <w:lang w:val="en-US"/>
        </w:rPr>
        <w:t>)</w:t>
      </w:r>
      <w:r w:rsidRPr="00BD6339">
        <w:rPr>
          <w:rFonts w:ascii="Arial" w:hAnsi="Arial" w:cs="Arial"/>
          <w:bCs/>
          <w:sz w:val="24"/>
          <w:szCs w:val="24"/>
          <w:lang w:val="en-US"/>
        </w:rPr>
        <w:t xml:space="preserve">. Resource abundance and temporal variation in fruit eating birds along a wet forest elevational gradient in Costa Rica. </w:t>
      </w:r>
      <w:r w:rsidRPr="0004541D">
        <w:rPr>
          <w:rFonts w:ascii="Arial" w:hAnsi="Arial" w:cs="Arial"/>
          <w:bCs/>
          <w:i/>
          <w:sz w:val="24"/>
          <w:szCs w:val="24"/>
          <w:lang w:val="en-US"/>
        </w:rPr>
        <w:t xml:space="preserve">Ecology, 72: </w:t>
      </w:r>
      <w:r w:rsidRPr="00BD6339">
        <w:rPr>
          <w:rFonts w:ascii="Arial" w:hAnsi="Arial" w:cs="Arial"/>
          <w:bCs/>
          <w:sz w:val="24"/>
          <w:szCs w:val="24"/>
          <w:lang w:val="en-US"/>
        </w:rPr>
        <w:t>180–193.</w:t>
      </w:r>
    </w:p>
    <w:p w14:paraId="3CE599B9"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Loiselle, B., y J. Blake. </w:t>
      </w:r>
      <w:r>
        <w:rPr>
          <w:rFonts w:ascii="Arial" w:hAnsi="Arial" w:cs="Arial"/>
          <w:bCs/>
          <w:sz w:val="24"/>
          <w:szCs w:val="24"/>
          <w:lang w:val="en-US"/>
        </w:rPr>
        <w:t>(</w:t>
      </w:r>
      <w:r w:rsidRPr="00BD6339">
        <w:rPr>
          <w:rFonts w:ascii="Arial" w:hAnsi="Arial" w:cs="Arial"/>
          <w:bCs/>
          <w:sz w:val="24"/>
          <w:szCs w:val="24"/>
          <w:lang w:val="en-US"/>
        </w:rPr>
        <w:t>1994</w:t>
      </w:r>
      <w:r>
        <w:rPr>
          <w:rFonts w:ascii="Arial" w:hAnsi="Arial" w:cs="Arial"/>
          <w:bCs/>
          <w:sz w:val="24"/>
          <w:szCs w:val="24"/>
          <w:lang w:val="en-US"/>
        </w:rPr>
        <w:t>)</w:t>
      </w:r>
      <w:r w:rsidRPr="00BD6339">
        <w:rPr>
          <w:rFonts w:ascii="Arial" w:hAnsi="Arial" w:cs="Arial"/>
          <w:bCs/>
          <w:sz w:val="24"/>
          <w:szCs w:val="24"/>
          <w:lang w:val="en-US"/>
        </w:rPr>
        <w:t xml:space="preserve">. Annual variations in birds and plants of a tropical second growth woodland. </w:t>
      </w:r>
      <w:r w:rsidRPr="00147AE9">
        <w:rPr>
          <w:rFonts w:ascii="Arial" w:hAnsi="Arial" w:cs="Arial"/>
          <w:bCs/>
          <w:i/>
          <w:sz w:val="24"/>
          <w:szCs w:val="24"/>
          <w:lang w:val="en-US"/>
        </w:rPr>
        <w:t xml:space="preserve">Condor 96: </w:t>
      </w:r>
      <w:r w:rsidRPr="00BD6339">
        <w:rPr>
          <w:rFonts w:ascii="Arial" w:hAnsi="Arial" w:cs="Arial"/>
          <w:bCs/>
          <w:sz w:val="24"/>
          <w:szCs w:val="24"/>
          <w:lang w:val="en-US"/>
        </w:rPr>
        <w:t>368–380.</w:t>
      </w:r>
    </w:p>
    <w:p w14:paraId="4F4724AC"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Lobo, J.M., Jiménez-Valverde, M. y Real, R. (2008). </w:t>
      </w:r>
      <w:r w:rsidRPr="00EF5FE8">
        <w:rPr>
          <w:rFonts w:ascii="Arial" w:hAnsi="Arial" w:cs="Arial"/>
          <w:bCs/>
          <w:sz w:val="24"/>
          <w:szCs w:val="24"/>
          <w:lang w:val="en-US"/>
        </w:rPr>
        <w:t xml:space="preserve">AUC: a misleading measure of the performance of predictive distribution models. </w:t>
      </w:r>
      <w:r w:rsidRPr="00EF5FE8">
        <w:rPr>
          <w:rFonts w:ascii="Arial" w:hAnsi="Arial" w:cs="Arial"/>
          <w:bCs/>
          <w:sz w:val="24"/>
          <w:szCs w:val="24"/>
        </w:rPr>
        <w:t>Global Ecology and Biogeography, 17, 141-151.</w:t>
      </w:r>
    </w:p>
    <w:p w14:paraId="7756CBD9" w14:textId="77777777" w:rsidR="002C2257" w:rsidRPr="006837D4" w:rsidRDefault="002C2257" w:rsidP="002C2257">
      <w:pPr>
        <w:autoSpaceDE w:val="0"/>
        <w:autoSpaceDN w:val="0"/>
        <w:adjustRightInd w:val="0"/>
        <w:spacing w:after="240"/>
        <w:ind w:firstLine="0"/>
        <w:jc w:val="left"/>
        <w:rPr>
          <w:rFonts w:ascii="Arial" w:hAnsi="Arial" w:cs="Arial"/>
          <w:bCs/>
          <w:sz w:val="24"/>
          <w:szCs w:val="24"/>
        </w:rPr>
      </w:pPr>
      <w:r w:rsidRPr="00BD6339">
        <w:rPr>
          <w:rFonts w:ascii="Arial" w:hAnsi="Arial" w:cs="Arial"/>
          <w:bCs/>
          <w:sz w:val="24"/>
          <w:szCs w:val="24"/>
          <w:lang w:val="en-US"/>
        </w:rPr>
        <w:t xml:space="preserve">Malizia, L. R. </w:t>
      </w:r>
      <w:r>
        <w:rPr>
          <w:rFonts w:ascii="Arial" w:hAnsi="Arial" w:cs="Arial"/>
          <w:bCs/>
          <w:sz w:val="24"/>
          <w:szCs w:val="24"/>
          <w:lang w:val="en-US"/>
        </w:rPr>
        <w:t>(</w:t>
      </w:r>
      <w:r w:rsidRPr="00BD6339">
        <w:rPr>
          <w:rFonts w:ascii="Arial" w:hAnsi="Arial" w:cs="Arial"/>
          <w:bCs/>
          <w:sz w:val="24"/>
          <w:szCs w:val="24"/>
          <w:lang w:val="en-US"/>
        </w:rPr>
        <w:t>2001</w:t>
      </w:r>
      <w:r>
        <w:rPr>
          <w:rFonts w:ascii="Arial" w:hAnsi="Arial" w:cs="Arial"/>
          <w:bCs/>
          <w:sz w:val="24"/>
          <w:szCs w:val="24"/>
          <w:lang w:val="en-US"/>
        </w:rPr>
        <w:t>)</w:t>
      </w:r>
      <w:r w:rsidRPr="00BD6339">
        <w:rPr>
          <w:rFonts w:ascii="Arial" w:hAnsi="Arial" w:cs="Arial"/>
          <w:bCs/>
          <w:sz w:val="24"/>
          <w:szCs w:val="24"/>
          <w:lang w:val="en-US"/>
        </w:rPr>
        <w:t xml:space="preserve">. Seasonal fluctuations of birds, fruits and flowers in a subtropical forest of Argentina. </w:t>
      </w:r>
      <w:r w:rsidRPr="006837D4">
        <w:rPr>
          <w:rFonts w:ascii="Arial" w:hAnsi="Arial" w:cs="Arial"/>
          <w:bCs/>
          <w:i/>
          <w:sz w:val="24"/>
          <w:szCs w:val="24"/>
        </w:rPr>
        <w:t>Condor, 103:</w:t>
      </w:r>
      <w:r w:rsidRPr="006837D4">
        <w:rPr>
          <w:rFonts w:ascii="Arial" w:hAnsi="Arial" w:cs="Arial"/>
          <w:bCs/>
          <w:sz w:val="24"/>
          <w:szCs w:val="24"/>
        </w:rPr>
        <w:t xml:space="preserve"> 45–61.</w:t>
      </w:r>
    </w:p>
    <w:p w14:paraId="57D73D37"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rPr>
        <w:t xml:space="preserve">Marín-Togo, M.C., Monterrubio-Rico, T.C., Renton, K., Rubio-Rocha, Y., Macías-Caballero, C., Ortega-Rodríguez, J. M., y Cancino-Murillo, R. (2012). </w:t>
      </w:r>
      <w:r w:rsidRPr="00EF5FE8">
        <w:rPr>
          <w:rFonts w:ascii="Arial" w:hAnsi="Arial" w:cs="Arial"/>
          <w:bCs/>
          <w:sz w:val="24"/>
          <w:szCs w:val="24"/>
          <w:lang w:val="en-US"/>
        </w:rPr>
        <w:t xml:space="preserve">Reduced current distribution of Psittacidae on the Mexican Pacific coast: potential impacts of habitat loss and capture for trade, </w:t>
      </w:r>
      <w:r w:rsidRPr="00EF5FE8">
        <w:rPr>
          <w:rFonts w:ascii="Arial" w:hAnsi="Arial" w:cs="Arial"/>
          <w:bCs/>
          <w:i/>
          <w:sz w:val="24"/>
          <w:szCs w:val="24"/>
          <w:lang w:val="en-US"/>
        </w:rPr>
        <w:t>Biodiversity andConservation, 21</w:t>
      </w:r>
      <w:r w:rsidRPr="00EF5FE8">
        <w:rPr>
          <w:rFonts w:ascii="Arial" w:hAnsi="Arial" w:cs="Arial"/>
          <w:bCs/>
          <w:sz w:val="24"/>
          <w:szCs w:val="24"/>
          <w:lang w:val="en-US"/>
        </w:rPr>
        <w:t xml:space="preserve">,451-473. </w:t>
      </w:r>
    </w:p>
    <w:p w14:paraId="77544AB5" w14:textId="77777777" w:rsidR="002C2257" w:rsidRPr="00C65FD3"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Masera, O. R., Ordóñez, M. J.,y Dirzo, R. (1997). </w:t>
      </w:r>
      <w:r w:rsidRPr="00EF5FE8">
        <w:rPr>
          <w:rFonts w:ascii="Arial" w:hAnsi="Arial" w:cs="Arial"/>
          <w:bCs/>
          <w:sz w:val="24"/>
          <w:szCs w:val="24"/>
          <w:lang w:val="en-US"/>
        </w:rPr>
        <w:t xml:space="preserve">Carbon emissions from Mexican forests: Current situation and long-term scenarios. </w:t>
      </w:r>
      <w:r w:rsidRPr="00C65FD3">
        <w:rPr>
          <w:rFonts w:ascii="Arial" w:hAnsi="Arial" w:cs="Arial"/>
          <w:bCs/>
          <w:i/>
          <w:sz w:val="24"/>
          <w:szCs w:val="24"/>
        </w:rPr>
        <w:t>Climatic Change, 35</w:t>
      </w:r>
      <w:r w:rsidRPr="00C65FD3">
        <w:rPr>
          <w:rFonts w:ascii="Arial" w:hAnsi="Arial" w:cs="Arial"/>
          <w:bCs/>
          <w:sz w:val="24"/>
          <w:szCs w:val="24"/>
        </w:rPr>
        <w:t xml:space="preserve">, 265-295. </w:t>
      </w:r>
    </w:p>
    <w:p w14:paraId="77C2F8E3" w14:textId="77777777" w:rsidR="002C2257"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rPr>
        <w:t xml:space="preserve">Monterrubio-Rico, T. C., Ortega-Rodríguez, J. M.  Marín-Togo, M. C. Salinas-Melgoza A. y Renton, K. (2009). </w:t>
      </w:r>
      <w:r>
        <w:rPr>
          <w:rFonts w:ascii="Arial" w:hAnsi="Arial" w:cs="Arial"/>
          <w:bCs/>
          <w:sz w:val="24"/>
          <w:szCs w:val="24"/>
          <w:lang w:val="en-US"/>
        </w:rPr>
        <w:t xml:space="preserve">Nesting </w:t>
      </w:r>
      <w:r w:rsidRPr="00CD7D80">
        <w:rPr>
          <w:rFonts w:ascii="Arial" w:hAnsi="Arial" w:cs="Arial"/>
          <w:bCs/>
          <w:sz w:val="24"/>
          <w:szCs w:val="24"/>
          <w:lang w:val="en-US"/>
        </w:rPr>
        <w:t xml:space="preserve">hábitat of the Lilac-crowned </w:t>
      </w:r>
      <w:r>
        <w:rPr>
          <w:rFonts w:ascii="Arial" w:hAnsi="Arial" w:cs="Arial"/>
          <w:bCs/>
          <w:sz w:val="24"/>
          <w:szCs w:val="24"/>
          <w:lang w:val="en-US"/>
        </w:rPr>
        <w:t xml:space="preserve">Parrot in a modified Landscape. </w:t>
      </w:r>
      <w:r w:rsidRPr="00CD7D80">
        <w:rPr>
          <w:rFonts w:ascii="Arial" w:hAnsi="Arial" w:cs="Arial"/>
          <w:bCs/>
          <w:i/>
          <w:sz w:val="24"/>
          <w:szCs w:val="24"/>
          <w:lang w:val="en-US"/>
        </w:rPr>
        <w:t>Biotropica</w:t>
      </w:r>
      <w:r>
        <w:rPr>
          <w:rFonts w:ascii="Arial" w:hAnsi="Arial" w:cs="Arial"/>
          <w:bCs/>
          <w:i/>
          <w:sz w:val="24"/>
          <w:szCs w:val="24"/>
          <w:lang w:val="en-US"/>
        </w:rPr>
        <w:t>,</w:t>
      </w:r>
      <w:r w:rsidRPr="00CD7D80">
        <w:rPr>
          <w:rFonts w:ascii="Arial" w:hAnsi="Arial" w:cs="Arial"/>
          <w:bCs/>
          <w:i/>
          <w:sz w:val="24"/>
          <w:szCs w:val="24"/>
          <w:lang w:val="en-US"/>
        </w:rPr>
        <w:t>41</w:t>
      </w:r>
      <w:r>
        <w:rPr>
          <w:rFonts w:ascii="Arial" w:hAnsi="Arial" w:cs="Arial"/>
          <w:bCs/>
          <w:sz w:val="24"/>
          <w:szCs w:val="24"/>
          <w:lang w:val="en-US"/>
        </w:rPr>
        <w:t xml:space="preserve">, </w:t>
      </w:r>
      <w:r w:rsidRPr="00CD7D80">
        <w:rPr>
          <w:rFonts w:ascii="Arial" w:hAnsi="Arial" w:cs="Arial"/>
          <w:bCs/>
          <w:sz w:val="24"/>
          <w:szCs w:val="24"/>
          <w:lang w:val="en-US"/>
        </w:rPr>
        <w:t>361-368.</w:t>
      </w:r>
    </w:p>
    <w:p w14:paraId="0DD3157A"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Navarro-Sigüenza, A. G., Rebón-Gallardo, M. F., Gordillo-Martínez, A., Peterson, A. T., Berlanga-García, H., y Sánchez-González, L. (2014). Biodiversidad de las aves en México. </w:t>
      </w:r>
      <w:r w:rsidRPr="00EF5FE8">
        <w:rPr>
          <w:rFonts w:ascii="Arial" w:hAnsi="Arial" w:cs="Arial"/>
          <w:bCs/>
          <w:i/>
          <w:sz w:val="24"/>
          <w:szCs w:val="24"/>
        </w:rPr>
        <w:t>Revista Mexicana de Biodiversidad, 85</w:t>
      </w:r>
      <w:r w:rsidRPr="00EF5FE8">
        <w:rPr>
          <w:rFonts w:ascii="Arial" w:hAnsi="Arial" w:cs="Arial"/>
          <w:bCs/>
          <w:sz w:val="24"/>
          <w:szCs w:val="24"/>
        </w:rPr>
        <w:t xml:space="preserve">,476-495. </w:t>
      </w:r>
    </w:p>
    <w:p w14:paraId="75EBAA48"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Ortega-Rodríguez, J. M.,y Monterrubio-Rico, T. C. (2008). Características geográficas de la ubicación de nidos del loro corona Lila (</w:t>
      </w:r>
      <w:r w:rsidRPr="00EF5FE8">
        <w:rPr>
          <w:rFonts w:ascii="Arial" w:hAnsi="Arial" w:cs="Arial"/>
          <w:bCs/>
          <w:i/>
          <w:sz w:val="24"/>
          <w:szCs w:val="24"/>
        </w:rPr>
        <w:t>Amazona finschi</w:t>
      </w:r>
      <w:r w:rsidRPr="00EF5FE8">
        <w:rPr>
          <w:rFonts w:ascii="Arial" w:hAnsi="Arial" w:cs="Arial"/>
          <w:bCs/>
          <w:sz w:val="24"/>
          <w:szCs w:val="24"/>
        </w:rPr>
        <w:t xml:space="preserve">) en la costa del Pacífico en Michoacán, México. </w:t>
      </w:r>
      <w:r w:rsidRPr="00EF5FE8">
        <w:rPr>
          <w:rFonts w:ascii="Arial" w:hAnsi="Arial" w:cs="Arial"/>
          <w:bCs/>
          <w:i/>
          <w:sz w:val="24"/>
          <w:szCs w:val="24"/>
        </w:rPr>
        <w:t>Ornitología Neotropical, 19,</w:t>
      </w:r>
      <w:r w:rsidRPr="00EF5FE8">
        <w:rPr>
          <w:rFonts w:ascii="Arial" w:hAnsi="Arial" w:cs="Arial"/>
          <w:bCs/>
          <w:sz w:val="24"/>
          <w:szCs w:val="24"/>
        </w:rPr>
        <w:t xml:space="preserve"> 427-439.</w:t>
      </w:r>
    </w:p>
    <w:p w14:paraId="6CF07880"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Pennington, T.D., y Sarukhán, J. (2005). </w:t>
      </w:r>
      <w:r w:rsidRPr="00EF5FE8">
        <w:rPr>
          <w:rFonts w:ascii="Arial" w:hAnsi="Arial" w:cs="Arial"/>
          <w:bCs/>
          <w:i/>
          <w:sz w:val="24"/>
          <w:szCs w:val="24"/>
        </w:rPr>
        <w:t>Árboles tropicales de México, Manual para la identificación de las principales especies</w:t>
      </w:r>
      <w:r w:rsidRPr="00EF5FE8">
        <w:rPr>
          <w:rFonts w:ascii="Arial" w:hAnsi="Arial" w:cs="Arial"/>
          <w:bCs/>
          <w:sz w:val="24"/>
          <w:szCs w:val="24"/>
        </w:rPr>
        <w:t>. México, Distrito Federal: Fondo de Cultura Económica.</w:t>
      </w:r>
    </w:p>
    <w:p w14:paraId="604BB983"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rPr>
        <w:t xml:space="preserve">Peterson, A. T., Papes, M.,y Soberón, J. (2008). </w:t>
      </w:r>
      <w:r w:rsidRPr="00EF5FE8">
        <w:rPr>
          <w:rFonts w:ascii="Arial" w:hAnsi="Arial" w:cs="Arial"/>
          <w:bCs/>
          <w:sz w:val="24"/>
          <w:szCs w:val="24"/>
          <w:lang w:val="en-US"/>
        </w:rPr>
        <w:t xml:space="preserve">Rethinking receiver operating characteristic analysis applications in ecological niche modeling. </w:t>
      </w:r>
      <w:r w:rsidRPr="00EF5FE8">
        <w:rPr>
          <w:rFonts w:ascii="Arial" w:hAnsi="Arial" w:cs="Arial"/>
          <w:bCs/>
          <w:i/>
          <w:sz w:val="24"/>
          <w:szCs w:val="24"/>
          <w:lang w:val="en-US"/>
        </w:rPr>
        <w:t>Ecological Modelling, 213</w:t>
      </w:r>
      <w:r w:rsidRPr="00EF5FE8">
        <w:rPr>
          <w:rFonts w:ascii="Arial" w:hAnsi="Arial" w:cs="Arial"/>
          <w:bCs/>
          <w:sz w:val="24"/>
          <w:szCs w:val="24"/>
          <w:lang w:val="en-US"/>
        </w:rPr>
        <w:t xml:space="preserve">, 63-72. </w:t>
      </w:r>
    </w:p>
    <w:p w14:paraId="5418CFE6"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Phillips, S. J., Anderson, R. P.,y Schapire, R. E. (2006). Maximum entropy modeling of species geographic distributions. </w:t>
      </w:r>
      <w:r w:rsidRPr="00EF5FE8">
        <w:rPr>
          <w:rFonts w:ascii="Arial" w:hAnsi="Arial" w:cs="Arial"/>
          <w:bCs/>
          <w:i/>
          <w:sz w:val="24"/>
          <w:szCs w:val="24"/>
          <w:lang w:val="en-US"/>
        </w:rPr>
        <w:t>Ecological Modelling, 190</w:t>
      </w:r>
      <w:r w:rsidRPr="00EF5FE8">
        <w:rPr>
          <w:rFonts w:ascii="Arial" w:hAnsi="Arial" w:cs="Arial"/>
          <w:bCs/>
          <w:sz w:val="24"/>
          <w:szCs w:val="24"/>
          <w:lang w:val="en-US"/>
        </w:rPr>
        <w:t xml:space="preserve">, 231-259. </w:t>
      </w:r>
    </w:p>
    <w:p w14:paraId="56EC8751" w14:textId="77777777" w:rsidR="002C2257" w:rsidRPr="006837D4" w:rsidRDefault="002C2257" w:rsidP="002C2257">
      <w:pPr>
        <w:autoSpaceDE w:val="0"/>
        <w:autoSpaceDN w:val="0"/>
        <w:adjustRightInd w:val="0"/>
        <w:spacing w:after="240"/>
        <w:ind w:firstLine="0"/>
        <w:jc w:val="left"/>
        <w:rPr>
          <w:rFonts w:ascii="Arial" w:hAnsi="Arial" w:cs="Arial"/>
          <w:bCs/>
          <w:sz w:val="24"/>
          <w:szCs w:val="24"/>
        </w:rPr>
      </w:pPr>
      <w:r w:rsidRPr="00BD6339">
        <w:rPr>
          <w:rFonts w:ascii="Arial" w:hAnsi="Arial" w:cs="Arial"/>
          <w:bCs/>
          <w:sz w:val="24"/>
          <w:szCs w:val="24"/>
          <w:lang w:val="en-US"/>
        </w:rPr>
        <w:t xml:space="preserve">Rabenold, K.N. andP.P. Rabenold. </w:t>
      </w:r>
      <w:r>
        <w:rPr>
          <w:rFonts w:ascii="Arial" w:hAnsi="Arial" w:cs="Arial"/>
          <w:bCs/>
          <w:sz w:val="24"/>
          <w:szCs w:val="24"/>
          <w:lang w:val="en-US"/>
        </w:rPr>
        <w:t>(</w:t>
      </w:r>
      <w:r w:rsidRPr="00BD6339">
        <w:rPr>
          <w:rFonts w:ascii="Arial" w:hAnsi="Arial" w:cs="Arial"/>
          <w:bCs/>
          <w:sz w:val="24"/>
          <w:szCs w:val="24"/>
          <w:lang w:val="en-US"/>
        </w:rPr>
        <w:t>1985</w:t>
      </w:r>
      <w:r>
        <w:rPr>
          <w:rFonts w:ascii="Arial" w:hAnsi="Arial" w:cs="Arial"/>
          <w:bCs/>
          <w:sz w:val="24"/>
          <w:szCs w:val="24"/>
          <w:lang w:val="en-US"/>
        </w:rPr>
        <w:t>)</w:t>
      </w:r>
      <w:r w:rsidRPr="00BD6339">
        <w:rPr>
          <w:rFonts w:ascii="Arial" w:hAnsi="Arial" w:cs="Arial"/>
          <w:bCs/>
          <w:i/>
          <w:iCs/>
          <w:sz w:val="24"/>
          <w:szCs w:val="24"/>
          <w:lang w:val="en-US"/>
        </w:rPr>
        <w:t>.</w:t>
      </w:r>
      <w:r w:rsidRPr="00BD6339">
        <w:rPr>
          <w:rFonts w:ascii="Arial" w:hAnsi="Arial" w:cs="Arial"/>
          <w:bCs/>
          <w:sz w:val="24"/>
          <w:szCs w:val="24"/>
          <w:lang w:val="en-US"/>
        </w:rPr>
        <w:t>Variation in elevational migration, winter segregation, and site tenacity in two subspecies of Dark-eyed Juncos in Southern Appalachians</w:t>
      </w:r>
      <w:r w:rsidRPr="00BD6339">
        <w:rPr>
          <w:rFonts w:ascii="Arial" w:hAnsi="Arial" w:cs="Arial"/>
          <w:bCs/>
          <w:i/>
          <w:iCs/>
          <w:sz w:val="24"/>
          <w:szCs w:val="24"/>
          <w:lang w:val="en-US"/>
        </w:rPr>
        <w:t xml:space="preserve">. </w:t>
      </w:r>
      <w:r w:rsidRPr="0004541D">
        <w:rPr>
          <w:rFonts w:ascii="Arial" w:hAnsi="Arial" w:cs="Arial"/>
          <w:bCs/>
          <w:i/>
          <w:sz w:val="24"/>
          <w:szCs w:val="24"/>
        </w:rPr>
        <w:t>Auk, 102:</w:t>
      </w:r>
      <w:r>
        <w:rPr>
          <w:rFonts w:ascii="Arial" w:hAnsi="Arial" w:cs="Arial"/>
          <w:bCs/>
          <w:sz w:val="24"/>
          <w:szCs w:val="24"/>
        </w:rPr>
        <w:t xml:space="preserve"> </w:t>
      </w:r>
      <w:r w:rsidRPr="00EF5FE8">
        <w:rPr>
          <w:rFonts w:ascii="Arial" w:hAnsi="Arial" w:cs="Arial"/>
          <w:bCs/>
          <w:sz w:val="24"/>
          <w:szCs w:val="24"/>
        </w:rPr>
        <w:t>805</w:t>
      </w:r>
      <w:r w:rsidRPr="00EF5FE8">
        <w:rPr>
          <w:rFonts w:ascii="Arial" w:hAnsi="Arial" w:cs="Arial"/>
          <w:bCs/>
          <w:i/>
          <w:iCs/>
          <w:sz w:val="24"/>
          <w:szCs w:val="24"/>
        </w:rPr>
        <w:t>–</w:t>
      </w:r>
      <w:r w:rsidRPr="00EF5FE8">
        <w:rPr>
          <w:rFonts w:ascii="Arial" w:hAnsi="Arial" w:cs="Arial"/>
          <w:bCs/>
          <w:sz w:val="24"/>
          <w:szCs w:val="24"/>
        </w:rPr>
        <w:t>819</w:t>
      </w:r>
      <w:r w:rsidRPr="00EF5FE8">
        <w:rPr>
          <w:rFonts w:ascii="Arial" w:hAnsi="Arial" w:cs="Arial"/>
          <w:bCs/>
          <w:i/>
          <w:iCs/>
          <w:sz w:val="24"/>
          <w:szCs w:val="24"/>
        </w:rPr>
        <w:t>.</w:t>
      </w:r>
    </w:p>
    <w:p w14:paraId="4B100352"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5C5440">
        <w:rPr>
          <w:rFonts w:ascii="Arial" w:hAnsi="Arial" w:cs="Arial"/>
          <w:bCs/>
          <w:sz w:val="24"/>
          <w:szCs w:val="24"/>
          <w:lang w:val="en-US"/>
        </w:rPr>
        <w:t xml:space="preserve">Renton, K. (2001). </w:t>
      </w:r>
      <w:r w:rsidRPr="00EF5FE8">
        <w:rPr>
          <w:rFonts w:ascii="Arial" w:hAnsi="Arial" w:cs="Arial"/>
          <w:bCs/>
          <w:sz w:val="24"/>
          <w:szCs w:val="24"/>
          <w:lang w:val="en-US"/>
        </w:rPr>
        <w:t xml:space="preserve">Lilac-crowned parrot diet and food resource availability: resource tracking by a parrot seed predator. </w:t>
      </w:r>
      <w:r w:rsidRPr="00EF5FE8">
        <w:rPr>
          <w:rFonts w:ascii="Arial" w:hAnsi="Arial" w:cs="Arial"/>
          <w:bCs/>
          <w:i/>
          <w:sz w:val="24"/>
          <w:szCs w:val="24"/>
          <w:lang w:val="en-US"/>
        </w:rPr>
        <w:t>The Condor, 103</w:t>
      </w:r>
      <w:r w:rsidRPr="00EF5FE8">
        <w:rPr>
          <w:rFonts w:ascii="Arial" w:hAnsi="Arial" w:cs="Arial"/>
          <w:bCs/>
          <w:sz w:val="24"/>
          <w:szCs w:val="24"/>
          <w:lang w:val="en-US"/>
        </w:rPr>
        <w:t>, 62-69.</w:t>
      </w:r>
    </w:p>
    <w:p w14:paraId="405C32E9"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lang w:val="en-US"/>
        </w:rPr>
        <w:t xml:space="preserve">Renton, K. (2002). Influence of environmental variability on the growth of Lilac-crowned parrot nestlings. </w:t>
      </w:r>
      <w:r w:rsidRPr="00EF5FE8">
        <w:rPr>
          <w:rFonts w:ascii="Arial" w:hAnsi="Arial" w:cs="Arial"/>
          <w:bCs/>
          <w:i/>
          <w:sz w:val="24"/>
          <w:szCs w:val="24"/>
        </w:rPr>
        <w:t>Ibis, 144</w:t>
      </w:r>
      <w:r w:rsidRPr="00EF5FE8">
        <w:rPr>
          <w:rFonts w:ascii="Arial" w:hAnsi="Arial" w:cs="Arial"/>
          <w:bCs/>
          <w:sz w:val="24"/>
          <w:szCs w:val="24"/>
        </w:rPr>
        <w:t xml:space="preserve">, 331-339. </w:t>
      </w:r>
    </w:p>
    <w:p w14:paraId="2C19F17B"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Renton, K. (2009). Lilac-crowned parrot (</w:t>
      </w:r>
      <w:r w:rsidRPr="00EF5FE8">
        <w:rPr>
          <w:rFonts w:ascii="Arial" w:hAnsi="Arial" w:cs="Arial"/>
          <w:bCs/>
          <w:i/>
          <w:sz w:val="24"/>
          <w:szCs w:val="24"/>
        </w:rPr>
        <w:t>Amazona finschi</w:t>
      </w:r>
      <w:r w:rsidRPr="00EF5FE8">
        <w:rPr>
          <w:rFonts w:ascii="Arial" w:hAnsi="Arial" w:cs="Arial"/>
          <w:bCs/>
          <w:sz w:val="24"/>
          <w:szCs w:val="24"/>
        </w:rPr>
        <w:t>). Obtenido de http://neotropical.birds.cornell.edu/portal/species/overview?p_p_spp=23510</w:t>
      </w:r>
    </w:p>
    <w:p w14:paraId="7A51D78B"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rPr>
        <w:t xml:space="preserve">Renton, K.,e Iñigo-Elías, E.E. (2003). </w:t>
      </w:r>
      <w:r w:rsidRPr="00EF5FE8">
        <w:rPr>
          <w:rFonts w:ascii="Arial" w:hAnsi="Arial" w:cs="Arial"/>
          <w:bCs/>
          <w:i/>
          <w:sz w:val="24"/>
          <w:szCs w:val="24"/>
        </w:rPr>
        <w:t>Comisión Nacional para el Conocimiento de la Biodiversidad</w:t>
      </w:r>
      <w:r w:rsidRPr="00EF5FE8">
        <w:rPr>
          <w:rFonts w:ascii="Arial" w:hAnsi="Arial" w:cs="Arial"/>
          <w:bCs/>
          <w:sz w:val="24"/>
          <w:szCs w:val="24"/>
        </w:rPr>
        <w:t>. (Informe final del proyecto AS001 Evaluación del estado actual de las poblaciones del loro corona lila(</w:t>
      </w:r>
      <w:r w:rsidRPr="00EF5FE8">
        <w:rPr>
          <w:rFonts w:ascii="Arial" w:hAnsi="Arial" w:cs="Arial"/>
          <w:bCs/>
          <w:i/>
          <w:sz w:val="24"/>
          <w:szCs w:val="24"/>
        </w:rPr>
        <w:t>Amazona finschi</w:t>
      </w:r>
      <w:r w:rsidRPr="00EF5FE8">
        <w:rPr>
          <w:rFonts w:ascii="Arial" w:hAnsi="Arial" w:cs="Arial"/>
          <w:bCs/>
          <w:sz w:val="24"/>
          <w:szCs w:val="24"/>
        </w:rPr>
        <w:t>) en México). Instituto de Biología, UNAM.</w:t>
      </w:r>
    </w:p>
    <w:p w14:paraId="30C6E3DC"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rPr>
        <w:t xml:space="preserve">Renton, K.,y Salinas-Melgoza, A. (1999). </w:t>
      </w:r>
      <w:r w:rsidRPr="00EF5FE8">
        <w:rPr>
          <w:rFonts w:ascii="Arial" w:hAnsi="Arial" w:cs="Arial"/>
          <w:bCs/>
          <w:sz w:val="24"/>
          <w:szCs w:val="24"/>
          <w:lang w:val="en-US"/>
        </w:rPr>
        <w:t xml:space="preserve">Nesting behavior: of the Lilac-crowned parrot. </w:t>
      </w:r>
      <w:r w:rsidRPr="00EF5FE8">
        <w:rPr>
          <w:rFonts w:ascii="Arial" w:hAnsi="Arial" w:cs="Arial"/>
          <w:bCs/>
          <w:i/>
          <w:sz w:val="24"/>
          <w:szCs w:val="24"/>
          <w:lang w:val="en-US"/>
        </w:rPr>
        <w:t>Wilson Bulletin, 111,</w:t>
      </w:r>
      <w:r w:rsidRPr="00EF5FE8">
        <w:rPr>
          <w:rFonts w:ascii="Arial" w:hAnsi="Arial" w:cs="Arial"/>
          <w:bCs/>
          <w:sz w:val="24"/>
          <w:szCs w:val="24"/>
          <w:lang w:val="en-US"/>
        </w:rPr>
        <w:t xml:space="preserve"> 488-493. </w:t>
      </w:r>
    </w:p>
    <w:p w14:paraId="59204C35"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Renton, K.,y Salinas-Melgoza, A. (2004). Climatic variability, nest predation, and reproductive output of Lilac-crowned Parrots (</w:t>
      </w:r>
      <w:r w:rsidRPr="00EF5FE8">
        <w:rPr>
          <w:rFonts w:ascii="Arial" w:hAnsi="Arial" w:cs="Arial"/>
          <w:bCs/>
          <w:i/>
          <w:sz w:val="24"/>
          <w:szCs w:val="24"/>
          <w:lang w:val="en-US"/>
        </w:rPr>
        <w:t>Amazona finschi</w:t>
      </w:r>
      <w:r w:rsidRPr="00EF5FE8">
        <w:rPr>
          <w:rFonts w:ascii="Arial" w:hAnsi="Arial" w:cs="Arial"/>
          <w:bCs/>
          <w:sz w:val="24"/>
          <w:szCs w:val="24"/>
          <w:lang w:val="en-US"/>
        </w:rPr>
        <w:t xml:space="preserve">) in tropical dry forest of western Mexico. </w:t>
      </w:r>
      <w:r w:rsidRPr="00EF5FE8">
        <w:rPr>
          <w:rFonts w:ascii="Arial" w:hAnsi="Arial" w:cs="Arial"/>
          <w:bCs/>
          <w:i/>
          <w:sz w:val="24"/>
          <w:szCs w:val="24"/>
          <w:lang w:val="en-US"/>
        </w:rPr>
        <w:t>The Auk, 121</w:t>
      </w:r>
      <w:r w:rsidRPr="00EF5FE8">
        <w:rPr>
          <w:rFonts w:ascii="Arial" w:hAnsi="Arial" w:cs="Arial"/>
          <w:bCs/>
          <w:sz w:val="24"/>
          <w:szCs w:val="24"/>
          <w:lang w:val="en-US"/>
        </w:rPr>
        <w:t>, 1214-1225.</w:t>
      </w:r>
    </w:p>
    <w:p w14:paraId="47186C90"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Ridgely, R. S. (1981). The current distribution and status of mainland Neotropical parrots. En Ridgely, R.S. (Ed.), </w:t>
      </w:r>
      <w:r w:rsidRPr="00EF5FE8">
        <w:rPr>
          <w:rFonts w:ascii="Arial" w:hAnsi="Arial" w:cs="Arial"/>
          <w:bCs/>
          <w:i/>
          <w:sz w:val="24"/>
          <w:szCs w:val="24"/>
          <w:lang w:val="en-US"/>
        </w:rPr>
        <w:t>Conservation of New World parrots</w:t>
      </w:r>
      <w:r w:rsidRPr="00EF5FE8">
        <w:rPr>
          <w:rFonts w:ascii="Arial" w:hAnsi="Arial" w:cs="Arial"/>
          <w:bCs/>
          <w:sz w:val="24"/>
          <w:szCs w:val="24"/>
          <w:lang w:val="en-US"/>
        </w:rPr>
        <w:t xml:space="preserve"> (pp. 233-384).School of Forestry and Environmental Studies: Yale University Press.</w:t>
      </w:r>
    </w:p>
    <w:p w14:paraId="0F09ABF4"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5C5440">
        <w:rPr>
          <w:rFonts w:ascii="Arial" w:hAnsi="Arial" w:cs="Arial"/>
          <w:bCs/>
          <w:sz w:val="24"/>
          <w:szCs w:val="24"/>
        </w:rPr>
        <w:t xml:space="preserve">Ríos-Muñoz, C.A., y Navarro-Sigüenza, A. G. (2009). </w:t>
      </w:r>
      <w:r w:rsidRPr="00EF5FE8">
        <w:rPr>
          <w:rFonts w:ascii="Arial" w:hAnsi="Arial" w:cs="Arial"/>
          <w:bCs/>
          <w:sz w:val="24"/>
          <w:szCs w:val="24"/>
        </w:rPr>
        <w:t xml:space="preserve">Efectos del cambio de uso de suelo en la disponibilidad hipotética de hábitat para los psitácidos de México. </w:t>
      </w:r>
      <w:r w:rsidRPr="00EF5FE8">
        <w:rPr>
          <w:rFonts w:ascii="Arial" w:hAnsi="Arial" w:cs="Arial"/>
          <w:bCs/>
          <w:i/>
          <w:sz w:val="24"/>
          <w:szCs w:val="24"/>
          <w:lang w:val="en-US"/>
        </w:rPr>
        <w:t>Ornitología Neotropical, 20,</w:t>
      </w:r>
      <w:r w:rsidRPr="00EF5FE8">
        <w:rPr>
          <w:rFonts w:ascii="Arial" w:hAnsi="Arial" w:cs="Arial"/>
          <w:bCs/>
          <w:sz w:val="24"/>
          <w:szCs w:val="24"/>
          <w:lang w:val="en-US"/>
        </w:rPr>
        <w:t xml:space="preserve"> 491-509.</w:t>
      </w:r>
    </w:p>
    <w:p w14:paraId="011668BD"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Robb, G. N., McDonald, R. A., Chamberlain, D. E., Reynolds, S. J., Harrison, T. J. E.,y Bearhop, S. (2008). Winter feeding of birds increases productivity in the subsequent breeding season. </w:t>
      </w:r>
      <w:r w:rsidRPr="00EF5FE8">
        <w:rPr>
          <w:rFonts w:ascii="Arial" w:hAnsi="Arial" w:cs="Arial"/>
          <w:bCs/>
          <w:i/>
          <w:sz w:val="24"/>
          <w:szCs w:val="24"/>
          <w:lang w:val="en-US"/>
        </w:rPr>
        <w:t>Biology Letters, 4,</w:t>
      </w:r>
      <w:r w:rsidRPr="00EF5FE8">
        <w:rPr>
          <w:rFonts w:ascii="Arial" w:hAnsi="Arial" w:cs="Arial"/>
          <w:bCs/>
          <w:sz w:val="24"/>
          <w:szCs w:val="24"/>
          <w:lang w:val="en-US"/>
        </w:rPr>
        <w:t xml:space="preserve"> 220-223. </w:t>
      </w:r>
    </w:p>
    <w:p w14:paraId="53BCDDDF"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bCs/>
          <w:sz w:val="24"/>
          <w:szCs w:val="24"/>
          <w:lang w:val="en-US"/>
        </w:rPr>
        <w:t xml:space="preserve">Russello, M. A.,y Amato, G. (2004). A molecular phylogeny of </w:t>
      </w:r>
      <w:r w:rsidRPr="00EF5FE8">
        <w:rPr>
          <w:rFonts w:ascii="Arial" w:hAnsi="Arial" w:cs="Arial"/>
          <w:bCs/>
          <w:i/>
          <w:sz w:val="24"/>
          <w:szCs w:val="24"/>
          <w:lang w:val="en-US"/>
        </w:rPr>
        <w:t>Amazona</w:t>
      </w:r>
      <w:r w:rsidRPr="00EF5FE8">
        <w:rPr>
          <w:rFonts w:ascii="Arial" w:hAnsi="Arial" w:cs="Arial"/>
          <w:bCs/>
          <w:sz w:val="24"/>
          <w:szCs w:val="24"/>
          <w:lang w:val="en-US"/>
        </w:rPr>
        <w:t xml:space="preserve">: implications for Neotropical parrot biogeography, taxonomy, and conservation. </w:t>
      </w:r>
      <w:r w:rsidRPr="00EF5FE8">
        <w:rPr>
          <w:rFonts w:ascii="Arial" w:hAnsi="Arial" w:cs="Arial"/>
          <w:bCs/>
          <w:i/>
          <w:sz w:val="24"/>
          <w:szCs w:val="24"/>
        </w:rPr>
        <w:t>Molecular Phylogenetics and Evolution, 30</w:t>
      </w:r>
      <w:r w:rsidRPr="00EF5FE8">
        <w:rPr>
          <w:rFonts w:ascii="Arial" w:hAnsi="Arial" w:cs="Arial"/>
          <w:bCs/>
          <w:sz w:val="24"/>
          <w:szCs w:val="24"/>
        </w:rPr>
        <w:t xml:space="preserve">, 421-437. </w:t>
      </w:r>
    </w:p>
    <w:p w14:paraId="0F988B3C" w14:textId="77777777" w:rsidR="002C2257" w:rsidRPr="00EF5FE8" w:rsidRDefault="002C2257" w:rsidP="002C2257">
      <w:pPr>
        <w:autoSpaceDE w:val="0"/>
        <w:autoSpaceDN w:val="0"/>
        <w:adjustRightInd w:val="0"/>
        <w:spacing w:after="240"/>
        <w:ind w:firstLine="0"/>
        <w:jc w:val="left"/>
        <w:rPr>
          <w:rFonts w:ascii="Arial" w:hAnsi="Arial" w:cs="Arial"/>
          <w:bCs/>
          <w:sz w:val="24"/>
          <w:szCs w:val="24"/>
        </w:rPr>
      </w:pPr>
      <w:r w:rsidRPr="00EF5FE8">
        <w:rPr>
          <w:rFonts w:ascii="Arial" w:hAnsi="Arial" w:cs="Arial"/>
          <w:sz w:val="24"/>
          <w:szCs w:val="24"/>
        </w:rPr>
        <w:t xml:space="preserve">Rzedowski, J. (1978). </w:t>
      </w:r>
      <w:r w:rsidRPr="00EF5FE8">
        <w:rPr>
          <w:rFonts w:ascii="Arial" w:hAnsi="Arial" w:cs="Arial"/>
          <w:i/>
          <w:sz w:val="24"/>
          <w:szCs w:val="24"/>
        </w:rPr>
        <w:t>La vegetación de México</w:t>
      </w:r>
      <w:r w:rsidRPr="00EF5FE8">
        <w:rPr>
          <w:rFonts w:ascii="Arial" w:hAnsi="Arial" w:cs="Arial"/>
          <w:sz w:val="24"/>
          <w:szCs w:val="24"/>
        </w:rPr>
        <w:t>. México: Ed. Limusa.</w:t>
      </w:r>
    </w:p>
    <w:p w14:paraId="6A2225DB"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rPr>
        <w:t xml:space="preserve">Salinas-Melgoza, A. A.,y Renton, K. (2005). </w:t>
      </w:r>
      <w:r w:rsidRPr="00EF5FE8">
        <w:rPr>
          <w:rFonts w:ascii="Arial" w:hAnsi="Arial" w:cs="Arial"/>
          <w:bCs/>
          <w:sz w:val="24"/>
          <w:szCs w:val="24"/>
          <w:lang w:val="en-US"/>
        </w:rPr>
        <w:t xml:space="preserve">Seasonal variation in activity patterns of juvenile lilac-crowned parrots in tropical dry forest lilac-crowned parrots in tropical dry forest, </w:t>
      </w:r>
      <w:r w:rsidRPr="00EF5FE8">
        <w:rPr>
          <w:rFonts w:ascii="Arial" w:hAnsi="Arial" w:cs="Arial"/>
          <w:bCs/>
          <w:i/>
          <w:sz w:val="24"/>
          <w:szCs w:val="24"/>
          <w:lang w:val="en-US"/>
        </w:rPr>
        <w:t>Wilson Bulletin, 117,</w:t>
      </w:r>
      <w:r w:rsidRPr="00EF5FE8">
        <w:rPr>
          <w:rFonts w:ascii="Arial" w:hAnsi="Arial" w:cs="Arial"/>
          <w:bCs/>
          <w:sz w:val="24"/>
          <w:szCs w:val="24"/>
          <w:lang w:val="en-US"/>
        </w:rPr>
        <w:t xml:space="preserve"> 291-295.</w:t>
      </w:r>
    </w:p>
    <w:p w14:paraId="3B133114"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Sarmiento, G. </w:t>
      </w:r>
      <w:r>
        <w:rPr>
          <w:rFonts w:ascii="Arial" w:hAnsi="Arial" w:cs="Arial"/>
          <w:bCs/>
          <w:sz w:val="24"/>
          <w:szCs w:val="24"/>
          <w:lang w:val="en-US"/>
        </w:rPr>
        <w:t>(</w:t>
      </w:r>
      <w:r w:rsidRPr="00BD6339">
        <w:rPr>
          <w:rFonts w:ascii="Arial" w:hAnsi="Arial" w:cs="Arial"/>
          <w:bCs/>
          <w:sz w:val="24"/>
          <w:szCs w:val="24"/>
          <w:lang w:val="en-US"/>
        </w:rPr>
        <w:t>1972</w:t>
      </w:r>
      <w:r>
        <w:rPr>
          <w:rFonts w:ascii="Arial" w:hAnsi="Arial" w:cs="Arial"/>
          <w:bCs/>
          <w:sz w:val="24"/>
          <w:szCs w:val="24"/>
          <w:lang w:val="en-US"/>
        </w:rPr>
        <w:t>)</w:t>
      </w:r>
      <w:r w:rsidRPr="00BD6339">
        <w:rPr>
          <w:rFonts w:ascii="Arial" w:hAnsi="Arial" w:cs="Arial"/>
          <w:bCs/>
          <w:sz w:val="24"/>
          <w:szCs w:val="24"/>
          <w:lang w:val="en-US"/>
        </w:rPr>
        <w:t xml:space="preserve">. Ecological and floristic convergence between seasonal plant formations of Tropical and Subtropical South America. </w:t>
      </w:r>
      <w:r>
        <w:rPr>
          <w:rFonts w:ascii="Arial" w:hAnsi="Arial" w:cs="Arial"/>
          <w:bCs/>
          <w:i/>
          <w:sz w:val="24"/>
          <w:szCs w:val="24"/>
          <w:lang w:val="en-US"/>
        </w:rPr>
        <w:t>Journal of Ecology,</w:t>
      </w:r>
      <w:r w:rsidRPr="00147AE9">
        <w:rPr>
          <w:rFonts w:ascii="Arial" w:hAnsi="Arial" w:cs="Arial"/>
          <w:bCs/>
          <w:i/>
          <w:sz w:val="24"/>
          <w:szCs w:val="24"/>
          <w:lang w:val="en-US"/>
        </w:rPr>
        <w:t xml:space="preserve"> 60:</w:t>
      </w:r>
      <w:r w:rsidRPr="00BD6339">
        <w:rPr>
          <w:rFonts w:ascii="Arial" w:hAnsi="Arial" w:cs="Arial"/>
          <w:bCs/>
          <w:sz w:val="24"/>
          <w:szCs w:val="24"/>
          <w:lang w:val="en-US"/>
        </w:rPr>
        <w:t xml:space="preserve"> 367–410.</w:t>
      </w:r>
    </w:p>
    <w:p w14:paraId="6A4EA308" w14:textId="77777777" w:rsidR="002C2257" w:rsidRPr="006837D4"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Sekercioglu. C. H. </w:t>
      </w:r>
      <w:r>
        <w:rPr>
          <w:rFonts w:ascii="Arial" w:hAnsi="Arial" w:cs="Arial"/>
          <w:bCs/>
          <w:sz w:val="24"/>
          <w:szCs w:val="24"/>
          <w:lang w:val="en-US"/>
        </w:rPr>
        <w:t>(</w:t>
      </w:r>
      <w:r w:rsidRPr="00BD6339">
        <w:rPr>
          <w:rFonts w:ascii="Arial" w:hAnsi="Arial" w:cs="Arial"/>
          <w:bCs/>
          <w:sz w:val="24"/>
          <w:szCs w:val="24"/>
          <w:lang w:val="en-US"/>
        </w:rPr>
        <w:t>2010</w:t>
      </w:r>
      <w:r>
        <w:rPr>
          <w:rFonts w:ascii="Arial" w:hAnsi="Arial" w:cs="Arial"/>
          <w:bCs/>
          <w:sz w:val="24"/>
          <w:szCs w:val="24"/>
          <w:lang w:val="en-US"/>
        </w:rPr>
        <w:t>)</w:t>
      </w:r>
      <w:r w:rsidRPr="00BD6339">
        <w:rPr>
          <w:rFonts w:ascii="Arial" w:hAnsi="Arial" w:cs="Arial"/>
          <w:bCs/>
          <w:sz w:val="24"/>
          <w:szCs w:val="24"/>
          <w:lang w:val="en-US"/>
        </w:rPr>
        <w:t xml:space="preserve">. Partial migration in tropical birds: the frontier of movement ecology. </w:t>
      </w:r>
      <w:r w:rsidRPr="006837D4">
        <w:rPr>
          <w:rFonts w:ascii="Arial" w:hAnsi="Arial" w:cs="Arial"/>
          <w:bCs/>
          <w:i/>
          <w:sz w:val="24"/>
          <w:szCs w:val="24"/>
          <w:lang w:val="en-US"/>
        </w:rPr>
        <w:t>Journal of Animal Ecology, 79</w:t>
      </w:r>
      <w:r w:rsidRPr="006837D4">
        <w:rPr>
          <w:rFonts w:ascii="Arial" w:hAnsi="Arial" w:cs="Arial"/>
          <w:bCs/>
          <w:sz w:val="24"/>
          <w:szCs w:val="24"/>
          <w:lang w:val="en-US"/>
        </w:rPr>
        <w:t>: 933-936</w:t>
      </w:r>
    </w:p>
    <w:p w14:paraId="65D150C8"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Selman, R. G.,y Houston, D. C. (1996). The effect of prebreeding diet on reproductive output in zebra finches. </w:t>
      </w:r>
      <w:r w:rsidRPr="00EF5FE8">
        <w:rPr>
          <w:rFonts w:ascii="Arial" w:hAnsi="Arial" w:cs="Arial"/>
          <w:bCs/>
          <w:i/>
          <w:sz w:val="24"/>
          <w:szCs w:val="24"/>
          <w:lang w:val="en-US"/>
        </w:rPr>
        <w:t>Proceedings of the Royal Society of London B., 263</w:t>
      </w:r>
      <w:r w:rsidRPr="00EF5FE8">
        <w:rPr>
          <w:rFonts w:ascii="Arial" w:hAnsi="Arial" w:cs="Arial"/>
          <w:bCs/>
          <w:sz w:val="24"/>
          <w:szCs w:val="24"/>
          <w:lang w:val="en-US"/>
        </w:rPr>
        <w:t xml:space="preserve">, 1585-1588. </w:t>
      </w:r>
    </w:p>
    <w:p w14:paraId="2A14F18F"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Soberón, J. (2007). Grinnellian and Eltonian niches and geographic distributions of species. </w:t>
      </w:r>
      <w:r w:rsidRPr="00EF5FE8">
        <w:rPr>
          <w:rFonts w:ascii="Arial" w:hAnsi="Arial" w:cs="Arial"/>
          <w:bCs/>
          <w:i/>
          <w:sz w:val="24"/>
          <w:szCs w:val="24"/>
          <w:lang w:val="en-US"/>
        </w:rPr>
        <w:t>Ecology Letters, 10</w:t>
      </w:r>
      <w:r w:rsidRPr="00EF5FE8">
        <w:rPr>
          <w:rFonts w:ascii="Arial" w:hAnsi="Arial" w:cs="Arial"/>
          <w:bCs/>
          <w:sz w:val="24"/>
          <w:szCs w:val="24"/>
          <w:lang w:val="en-US"/>
        </w:rPr>
        <w:t xml:space="preserve">, 1115-1123. </w:t>
      </w:r>
    </w:p>
    <w:p w14:paraId="0083B9D1" w14:textId="77777777" w:rsidR="002C2257" w:rsidRPr="006837D4"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rPr>
        <w:t xml:space="preserve">Sobral-Marcondes, R., G. Del-Rio, M. A. Rego, y L. F. Silveira. </w:t>
      </w:r>
      <w:r w:rsidRPr="006837D4">
        <w:rPr>
          <w:rFonts w:ascii="Arial" w:hAnsi="Arial" w:cs="Arial"/>
          <w:bCs/>
          <w:sz w:val="24"/>
          <w:szCs w:val="24"/>
          <w:lang w:val="en-US"/>
        </w:rPr>
        <w:t>(</w:t>
      </w:r>
      <w:r w:rsidRPr="00BD6339">
        <w:rPr>
          <w:rFonts w:ascii="Arial" w:hAnsi="Arial" w:cs="Arial"/>
          <w:bCs/>
          <w:sz w:val="24"/>
          <w:szCs w:val="24"/>
          <w:lang w:val="en-US"/>
        </w:rPr>
        <w:t>2014</w:t>
      </w:r>
      <w:r>
        <w:rPr>
          <w:rFonts w:ascii="Arial" w:hAnsi="Arial" w:cs="Arial"/>
          <w:bCs/>
          <w:sz w:val="24"/>
          <w:szCs w:val="24"/>
          <w:lang w:val="en-US"/>
        </w:rPr>
        <w:t>)</w:t>
      </w:r>
      <w:r w:rsidRPr="00BD6339">
        <w:rPr>
          <w:rFonts w:ascii="Arial" w:hAnsi="Arial" w:cs="Arial"/>
          <w:bCs/>
          <w:sz w:val="24"/>
          <w:szCs w:val="24"/>
          <w:lang w:val="en-US"/>
        </w:rPr>
        <w:t xml:space="preserve">. Geographic and seasonal distribution of a little-known Brazilian endemic rail (Aramides mangle) inferred from occurrence records and ecological niche modeling. </w:t>
      </w:r>
      <w:r w:rsidRPr="006837D4">
        <w:rPr>
          <w:rFonts w:ascii="Arial" w:hAnsi="Arial" w:cs="Arial"/>
          <w:bCs/>
          <w:i/>
          <w:sz w:val="24"/>
          <w:szCs w:val="24"/>
          <w:lang w:val="en-US"/>
        </w:rPr>
        <w:t>The Wilson Journal of Ornithology, 126</w:t>
      </w:r>
      <w:r w:rsidRPr="006837D4">
        <w:rPr>
          <w:rFonts w:ascii="Arial" w:hAnsi="Arial" w:cs="Arial"/>
          <w:bCs/>
          <w:sz w:val="24"/>
          <w:szCs w:val="24"/>
          <w:lang w:val="en-US"/>
        </w:rPr>
        <w:t xml:space="preserve">: 663-672. </w:t>
      </w:r>
    </w:p>
    <w:p w14:paraId="587C499C"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Sorensen, M. C., Hipfner, J. M., Kyser, T. K.,y Norris, D. R. (2009). Carry-over effects in a Pacific seabird: Stable isotope evidence that pre-breeding diet quality influences reproductive success. </w:t>
      </w:r>
      <w:r w:rsidRPr="00EF5FE8">
        <w:rPr>
          <w:rFonts w:ascii="Arial" w:hAnsi="Arial" w:cs="Arial"/>
          <w:bCs/>
          <w:i/>
          <w:sz w:val="24"/>
          <w:szCs w:val="24"/>
          <w:lang w:val="en-US"/>
        </w:rPr>
        <w:t>Journal of Animal Ecology, 78,</w:t>
      </w:r>
      <w:r w:rsidRPr="00EF5FE8">
        <w:rPr>
          <w:rFonts w:ascii="Arial" w:hAnsi="Arial" w:cs="Arial"/>
          <w:bCs/>
          <w:sz w:val="24"/>
          <w:szCs w:val="24"/>
          <w:lang w:val="en-US"/>
        </w:rPr>
        <w:t xml:space="preserve"> 460-467. </w:t>
      </w:r>
    </w:p>
    <w:p w14:paraId="3320D8D7"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rPr>
        <w:t xml:space="preserve">Stiles, G. </w:t>
      </w:r>
      <w:r>
        <w:rPr>
          <w:rFonts w:ascii="Arial" w:hAnsi="Arial" w:cs="Arial"/>
          <w:bCs/>
          <w:sz w:val="24"/>
          <w:szCs w:val="24"/>
        </w:rPr>
        <w:t>(</w:t>
      </w:r>
      <w:r w:rsidRPr="00EF5FE8">
        <w:rPr>
          <w:rFonts w:ascii="Arial" w:hAnsi="Arial" w:cs="Arial"/>
          <w:bCs/>
          <w:sz w:val="24"/>
          <w:szCs w:val="24"/>
        </w:rPr>
        <w:t>1979</w:t>
      </w:r>
      <w:r>
        <w:rPr>
          <w:rFonts w:ascii="Arial" w:hAnsi="Arial" w:cs="Arial"/>
          <w:bCs/>
          <w:sz w:val="24"/>
          <w:szCs w:val="24"/>
        </w:rPr>
        <w:t>)</w:t>
      </w:r>
      <w:r w:rsidRPr="00EF5FE8">
        <w:rPr>
          <w:rFonts w:ascii="Arial" w:hAnsi="Arial" w:cs="Arial"/>
          <w:bCs/>
          <w:sz w:val="24"/>
          <w:szCs w:val="24"/>
        </w:rPr>
        <w:t xml:space="preserve">. El ciclo anual en una comunidad coadaptada de colibríes y flores en el bosque tropical muy húmedo de Costa Rica. </w:t>
      </w:r>
      <w:r w:rsidRPr="0004541D">
        <w:rPr>
          <w:rFonts w:ascii="Arial" w:hAnsi="Arial" w:cs="Arial"/>
          <w:bCs/>
          <w:i/>
          <w:sz w:val="24"/>
          <w:szCs w:val="24"/>
          <w:lang w:val="en-US"/>
        </w:rPr>
        <w:t>Revista de Biología Tropical, 27:</w:t>
      </w:r>
      <w:r w:rsidRPr="00BD6339">
        <w:rPr>
          <w:rFonts w:ascii="Arial" w:hAnsi="Arial" w:cs="Arial"/>
          <w:bCs/>
          <w:sz w:val="24"/>
          <w:szCs w:val="24"/>
          <w:lang w:val="en-US"/>
        </w:rPr>
        <w:t xml:space="preserve"> 75-102.</w:t>
      </w:r>
    </w:p>
    <w:p w14:paraId="0E2B7604" w14:textId="77777777" w:rsidR="002C2257" w:rsidRPr="00EF5FE8" w:rsidRDefault="002C2257" w:rsidP="002C2257">
      <w:pPr>
        <w:autoSpaceDE w:val="0"/>
        <w:autoSpaceDN w:val="0"/>
        <w:adjustRightInd w:val="0"/>
        <w:spacing w:after="240"/>
        <w:ind w:firstLine="0"/>
        <w:jc w:val="left"/>
        <w:rPr>
          <w:rFonts w:ascii="Arial" w:hAnsi="Arial" w:cs="Arial"/>
          <w:bCs/>
          <w:sz w:val="24"/>
          <w:szCs w:val="24"/>
          <w:lang w:val="en-US"/>
        </w:rPr>
      </w:pPr>
      <w:r w:rsidRPr="00EF5FE8">
        <w:rPr>
          <w:rFonts w:ascii="Arial" w:hAnsi="Arial" w:cs="Arial"/>
          <w:bCs/>
          <w:sz w:val="24"/>
          <w:szCs w:val="24"/>
          <w:lang w:val="en-US"/>
        </w:rPr>
        <w:t xml:space="preserve">Stotz, D.F., Fitzpatrick, J. W., Parker, T.A., yMoskovits, D. K. (1996). </w:t>
      </w:r>
      <w:r w:rsidRPr="00EF5FE8">
        <w:rPr>
          <w:rFonts w:ascii="Arial" w:hAnsi="Arial" w:cs="Arial"/>
          <w:bCs/>
          <w:i/>
          <w:sz w:val="24"/>
          <w:szCs w:val="24"/>
          <w:lang w:val="en-US"/>
        </w:rPr>
        <w:t>Neotropical birds: Ecology y conservation</w:t>
      </w:r>
      <w:r w:rsidRPr="00EF5FE8">
        <w:rPr>
          <w:rFonts w:ascii="Arial" w:hAnsi="Arial" w:cs="Arial"/>
          <w:bCs/>
          <w:sz w:val="24"/>
          <w:szCs w:val="24"/>
          <w:lang w:val="en-US"/>
        </w:rPr>
        <w:t xml:space="preserve"> (1a. ed.). Chicago: University of Chicago. USA.</w:t>
      </w:r>
    </w:p>
    <w:p w14:paraId="345B3CFD" w14:textId="77777777" w:rsidR="002C2257" w:rsidRPr="00C65FD3" w:rsidRDefault="002C2257" w:rsidP="002C2257">
      <w:pPr>
        <w:autoSpaceDE w:val="0"/>
        <w:autoSpaceDN w:val="0"/>
        <w:adjustRightInd w:val="0"/>
        <w:spacing w:after="240"/>
        <w:ind w:firstLine="0"/>
        <w:jc w:val="left"/>
        <w:rPr>
          <w:rFonts w:ascii="Arial" w:hAnsi="Arial" w:cs="Arial"/>
          <w:bCs/>
          <w:sz w:val="24"/>
          <w:szCs w:val="24"/>
        </w:rPr>
      </w:pPr>
      <w:r w:rsidRPr="005C5440">
        <w:rPr>
          <w:rFonts w:ascii="Arial" w:hAnsi="Arial" w:cs="Arial"/>
          <w:bCs/>
          <w:sz w:val="24"/>
          <w:szCs w:val="24"/>
          <w:lang w:val="en-US"/>
        </w:rPr>
        <w:t xml:space="preserve">Trejo, I.y Dirzo, R. (2000). </w:t>
      </w:r>
      <w:r w:rsidRPr="00EF5FE8">
        <w:rPr>
          <w:rFonts w:ascii="Arial" w:hAnsi="Arial" w:cs="Arial"/>
          <w:bCs/>
          <w:sz w:val="24"/>
          <w:szCs w:val="24"/>
          <w:lang w:val="en-US"/>
        </w:rPr>
        <w:t xml:space="preserve">Deforestation of seasonally dry tropical forest a national and local analysis in Mexico. </w:t>
      </w:r>
      <w:r w:rsidRPr="00C65FD3">
        <w:rPr>
          <w:rFonts w:ascii="Arial" w:hAnsi="Arial" w:cs="Arial"/>
          <w:bCs/>
          <w:i/>
          <w:sz w:val="24"/>
          <w:szCs w:val="24"/>
        </w:rPr>
        <w:t xml:space="preserve">Biological Conservation, 94, </w:t>
      </w:r>
      <w:r w:rsidRPr="00C65FD3">
        <w:rPr>
          <w:rFonts w:ascii="Arial" w:hAnsi="Arial" w:cs="Arial"/>
          <w:bCs/>
          <w:sz w:val="24"/>
          <w:szCs w:val="24"/>
        </w:rPr>
        <w:t>133-142.</w:t>
      </w:r>
    </w:p>
    <w:p w14:paraId="2B3F7EF8" w14:textId="77777777" w:rsidR="002C2257" w:rsidRDefault="002C2257" w:rsidP="002C2257">
      <w:pPr>
        <w:autoSpaceDE w:val="0"/>
        <w:autoSpaceDN w:val="0"/>
        <w:adjustRightInd w:val="0"/>
        <w:spacing w:after="240"/>
        <w:ind w:firstLine="0"/>
        <w:jc w:val="left"/>
        <w:rPr>
          <w:rFonts w:ascii="Arial" w:hAnsi="Arial" w:cs="Arial"/>
          <w:bCs/>
          <w:sz w:val="24"/>
          <w:szCs w:val="24"/>
          <w:lang w:val="en-US"/>
        </w:rPr>
      </w:pPr>
      <w:r w:rsidRPr="00147AE9">
        <w:rPr>
          <w:rFonts w:ascii="Arial" w:hAnsi="Arial" w:cs="Arial"/>
          <w:bCs/>
          <w:sz w:val="24"/>
          <w:szCs w:val="24"/>
          <w:lang w:val="en-US"/>
        </w:rPr>
        <w:t xml:space="preserve">USGS. </w:t>
      </w:r>
      <w:r>
        <w:rPr>
          <w:rFonts w:ascii="Arial" w:hAnsi="Arial" w:cs="Arial"/>
          <w:bCs/>
          <w:sz w:val="24"/>
          <w:szCs w:val="24"/>
          <w:lang w:val="en-US"/>
        </w:rPr>
        <w:t>(</w:t>
      </w:r>
      <w:r w:rsidRPr="00147AE9">
        <w:rPr>
          <w:rFonts w:ascii="Arial" w:hAnsi="Arial" w:cs="Arial"/>
          <w:bCs/>
          <w:sz w:val="24"/>
          <w:szCs w:val="24"/>
          <w:lang w:val="en-US"/>
        </w:rPr>
        <w:t>2005</w:t>
      </w:r>
      <w:r>
        <w:rPr>
          <w:rFonts w:ascii="Arial" w:hAnsi="Arial" w:cs="Arial"/>
          <w:bCs/>
          <w:sz w:val="24"/>
          <w:szCs w:val="24"/>
          <w:lang w:val="en-US"/>
        </w:rPr>
        <w:t>)</w:t>
      </w:r>
      <w:r w:rsidRPr="00147AE9">
        <w:rPr>
          <w:rFonts w:ascii="Arial" w:hAnsi="Arial" w:cs="Arial"/>
          <w:bCs/>
          <w:sz w:val="24"/>
          <w:szCs w:val="24"/>
          <w:lang w:val="en-US"/>
        </w:rPr>
        <w:t>. USGS Hydro1k Elevation Derivative Da</w:t>
      </w:r>
      <w:r>
        <w:rPr>
          <w:rFonts w:ascii="Arial" w:hAnsi="Arial" w:cs="Arial"/>
          <w:bCs/>
          <w:sz w:val="24"/>
          <w:szCs w:val="24"/>
          <w:lang w:val="en-US"/>
        </w:rPr>
        <w:t xml:space="preserve">tabase. U. S. Department of the </w:t>
      </w:r>
      <w:r w:rsidRPr="00147AE9">
        <w:rPr>
          <w:rFonts w:ascii="Arial" w:hAnsi="Arial" w:cs="Arial"/>
          <w:bCs/>
          <w:sz w:val="24"/>
          <w:szCs w:val="24"/>
          <w:lang w:val="en-US"/>
        </w:rPr>
        <w:t>Interior, U. S. Geol</w:t>
      </w:r>
      <w:r>
        <w:rPr>
          <w:rFonts w:ascii="Arial" w:hAnsi="Arial" w:cs="Arial"/>
          <w:bCs/>
          <w:sz w:val="24"/>
          <w:szCs w:val="24"/>
          <w:lang w:val="en-US"/>
        </w:rPr>
        <w:t xml:space="preserve">ogical Survey. </w:t>
      </w:r>
      <w:hyperlink r:id="rId8" w:history="1">
        <w:r w:rsidRPr="00891FFB">
          <w:rPr>
            <w:rStyle w:val="Hipervnculo"/>
            <w:rFonts w:ascii="Arial" w:hAnsi="Arial" w:cs="Arial"/>
            <w:bCs/>
            <w:sz w:val="24"/>
            <w:szCs w:val="24"/>
            <w:lang w:val="en-US"/>
          </w:rPr>
          <w:t>http://edc.usgs.gov/products/elevation/gtopo30/hydro/index.html</w:t>
        </w:r>
      </w:hyperlink>
    </w:p>
    <w:p w14:paraId="3DF6A764" w14:textId="77777777" w:rsidR="002C2257" w:rsidRPr="00BD6339" w:rsidRDefault="002C2257" w:rsidP="002C2257">
      <w:pPr>
        <w:autoSpaceDE w:val="0"/>
        <w:autoSpaceDN w:val="0"/>
        <w:adjustRightInd w:val="0"/>
        <w:spacing w:after="240"/>
        <w:ind w:firstLine="0"/>
        <w:jc w:val="left"/>
        <w:rPr>
          <w:rFonts w:ascii="Arial" w:hAnsi="Arial" w:cs="Arial"/>
          <w:bCs/>
          <w:sz w:val="24"/>
          <w:szCs w:val="24"/>
          <w:lang w:val="en-US"/>
        </w:rPr>
      </w:pPr>
      <w:r w:rsidRPr="00BD6339">
        <w:rPr>
          <w:rFonts w:ascii="Arial" w:hAnsi="Arial" w:cs="Arial"/>
          <w:bCs/>
          <w:sz w:val="24"/>
          <w:szCs w:val="24"/>
          <w:lang w:val="en-US"/>
        </w:rPr>
        <w:t xml:space="preserve">Wiens, J. A. </w:t>
      </w:r>
      <w:r>
        <w:rPr>
          <w:rFonts w:ascii="Arial" w:hAnsi="Arial" w:cs="Arial"/>
          <w:bCs/>
          <w:sz w:val="24"/>
          <w:szCs w:val="24"/>
          <w:lang w:val="en-US"/>
        </w:rPr>
        <w:t>(</w:t>
      </w:r>
      <w:r w:rsidRPr="00BD6339">
        <w:rPr>
          <w:rFonts w:ascii="Arial" w:hAnsi="Arial" w:cs="Arial"/>
          <w:bCs/>
          <w:sz w:val="24"/>
          <w:szCs w:val="24"/>
          <w:lang w:val="en-US"/>
        </w:rPr>
        <w:t>1989</w:t>
      </w:r>
      <w:r>
        <w:rPr>
          <w:rFonts w:ascii="Arial" w:hAnsi="Arial" w:cs="Arial"/>
          <w:bCs/>
          <w:sz w:val="24"/>
          <w:szCs w:val="24"/>
          <w:lang w:val="en-US"/>
        </w:rPr>
        <w:t>)</w:t>
      </w:r>
      <w:r w:rsidRPr="00BD6339">
        <w:rPr>
          <w:rFonts w:ascii="Arial" w:hAnsi="Arial" w:cs="Arial"/>
          <w:bCs/>
          <w:sz w:val="24"/>
          <w:szCs w:val="24"/>
          <w:lang w:val="en-US"/>
        </w:rPr>
        <w:t xml:space="preserve">. </w:t>
      </w:r>
      <w:r w:rsidRPr="00147AE9">
        <w:rPr>
          <w:rFonts w:ascii="Arial" w:hAnsi="Arial" w:cs="Arial"/>
          <w:bCs/>
          <w:i/>
          <w:sz w:val="24"/>
          <w:szCs w:val="24"/>
          <w:lang w:val="en-US"/>
        </w:rPr>
        <w:t>The ecology of bird communities. Vol. 1. Foundations and patterns.</w:t>
      </w:r>
      <w:r w:rsidRPr="00BD6339">
        <w:rPr>
          <w:rFonts w:ascii="Arial" w:hAnsi="Arial" w:cs="Arial"/>
          <w:bCs/>
          <w:sz w:val="24"/>
          <w:szCs w:val="24"/>
          <w:lang w:val="en-US"/>
        </w:rPr>
        <w:t xml:space="preserve"> Cambridge Univ. Press, Cambridge, England.</w:t>
      </w:r>
    </w:p>
    <w:p w14:paraId="3A80831E" w14:textId="77777777" w:rsidR="002C2257" w:rsidRPr="00147AE9" w:rsidRDefault="002C2257" w:rsidP="002C2257">
      <w:pPr>
        <w:autoSpaceDE w:val="0"/>
        <w:autoSpaceDN w:val="0"/>
        <w:adjustRightInd w:val="0"/>
        <w:spacing w:after="240"/>
        <w:ind w:firstLine="0"/>
        <w:jc w:val="left"/>
        <w:rPr>
          <w:rFonts w:ascii="Arial" w:hAnsi="Arial" w:cs="Arial"/>
          <w:bCs/>
          <w:sz w:val="24"/>
          <w:szCs w:val="24"/>
          <w:lang w:val="en-US"/>
        </w:rPr>
      </w:pPr>
      <w:r w:rsidRPr="00147AE9">
        <w:rPr>
          <w:rFonts w:ascii="Arial" w:hAnsi="Arial" w:cs="Arial"/>
          <w:bCs/>
          <w:sz w:val="24"/>
          <w:szCs w:val="24"/>
          <w:lang w:val="en-US"/>
        </w:rPr>
        <w:br w:type="page"/>
      </w:r>
    </w:p>
    <w:p w14:paraId="6F32DCEE" w14:textId="77777777" w:rsidR="002C2257" w:rsidRPr="00147AE9" w:rsidRDefault="002C2257" w:rsidP="002C2257">
      <w:pPr>
        <w:spacing w:line="276" w:lineRule="auto"/>
        <w:ind w:firstLine="0"/>
        <w:jc w:val="left"/>
        <w:rPr>
          <w:rFonts w:ascii="Times New Roman" w:hAnsi="Times New Roman" w:cs="Times New Roman"/>
          <w:bCs/>
          <w:sz w:val="24"/>
          <w:szCs w:val="24"/>
          <w:lang w:val="en-US"/>
        </w:rPr>
      </w:pPr>
    </w:p>
    <w:p w14:paraId="0D5277CC" w14:textId="77777777" w:rsidR="002C2257" w:rsidRPr="00C65FD3" w:rsidRDefault="002C2257" w:rsidP="002C2257">
      <w:pPr>
        <w:spacing w:line="276" w:lineRule="auto"/>
        <w:ind w:firstLine="0"/>
        <w:jc w:val="left"/>
        <w:rPr>
          <w:rFonts w:ascii="Arial" w:hAnsi="Arial" w:cs="Arial"/>
          <w:bCs/>
          <w:sz w:val="24"/>
          <w:szCs w:val="24"/>
        </w:rPr>
      </w:pPr>
      <w:r>
        <w:rPr>
          <w:rFonts w:ascii="Times New Roman" w:hAnsi="Times New Roman" w:cs="Times New Roman"/>
          <w:bCs/>
          <w:noProof/>
          <w:sz w:val="24"/>
          <w:szCs w:val="24"/>
          <w:lang w:val="es-ES_tradnl" w:eastAsia="es-ES_tradnl"/>
        </w:rPr>
        <w:drawing>
          <wp:inline distT="0" distB="0" distL="0" distR="0" wp14:anchorId="63652A34" wp14:editId="3B10FB69">
            <wp:extent cx="5886450" cy="4835298"/>
            <wp:effectExtent l="0" t="0" r="0" b="3810"/>
            <wp:docPr id="9" name="Imagen 9" descr="C:\Users\Alejandro\Desktop\Integrative Eco-Evolutionary Biology\TE ODIO\FIGU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o\Desktop\Integrative Eco-Evolutionary Biology\TE ODIO\FIGURA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4835298"/>
                    </a:xfrm>
                    <a:prstGeom prst="rect">
                      <a:avLst/>
                    </a:prstGeom>
                    <a:noFill/>
                    <a:ln>
                      <a:noFill/>
                    </a:ln>
                  </pic:spPr>
                </pic:pic>
              </a:graphicData>
            </a:graphic>
          </wp:inline>
        </w:drawing>
      </w:r>
      <w:r w:rsidRPr="006550DC">
        <w:rPr>
          <w:rFonts w:ascii="Times New Roman" w:hAnsi="Times New Roman" w:cs="Times New Roman"/>
          <w:bCs/>
          <w:sz w:val="24"/>
          <w:szCs w:val="24"/>
        </w:rPr>
        <w:t xml:space="preserve">Figura 1. Sumatoria de las distribuciones potenciales mensuales de </w:t>
      </w:r>
      <w:r w:rsidRPr="00F31C15">
        <w:rPr>
          <w:rFonts w:ascii="Times New Roman" w:hAnsi="Times New Roman" w:cs="Times New Roman"/>
          <w:bCs/>
          <w:i/>
          <w:sz w:val="24"/>
          <w:szCs w:val="24"/>
        </w:rPr>
        <w:t>A. finschi</w:t>
      </w:r>
      <w:r w:rsidRPr="006550DC">
        <w:rPr>
          <w:rFonts w:ascii="Times New Roman" w:hAnsi="Times New Roman" w:cs="Times New Roman"/>
          <w:bCs/>
          <w:sz w:val="24"/>
          <w:szCs w:val="24"/>
        </w:rPr>
        <w:t xml:space="preserve">. La escala de grises indica la </w:t>
      </w:r>
      <w:r>
        <w:rPr>
          <w:rFonts w:ascii="Times New Roman" w:hAnsi="Times New Roman" w:cs="Times New Roman"/>
          <w:bCs/>
          <w:sz w:val="24"/>
          <w:szCs w:val="24"/>
        </w:rPr>
        <w:t>sumatoria de las predicciones de los modelos mensuales,</w:t>
      </w:r>
      <w:r w:rsidRPr="006550DC">
        <w:rPr>
          <w:rFonts w:ascii="Times New Roman" w:hAnsi="Times New Roman" w:cs="Times New Roman"/>
          <w:bCs/>
          <w:sz w:val="24"/>
          <w:szCs w:val="24"/>
        </w:rPr>
        <w:t xml:space="preserve"> que </w:t>
      </w:r>
      <w:r>
        <w:rPr>
          <w:rFonts w:ascii="Times New Roman" w:hAnsi="Times New Roman" w:cs="Times New Roman"/>
          <w:bCs/>
          <w:sz w:val="24"/>
          <w:szCs w:val="24"/>
        </w:rPr>
        <w:t xml:space="preserve">indican la coincidencia de </w:t>
      </w:r>
      <w:r w:rsidRPr="006550DC">
        <w:rPr>
          <w:rFonts w:ascii="Times New Roman" w:hAnsi="Times New Roman" w:cs="Times New Roman"/>
          <w:bCs/>
          <w:sz w:val="24"/>
          <w:szCs w:val="24"/>
        </w:rPr>
        <w:t xml:space="preserve">las condiciones ambientales </w:t>
      </w:r>
      <w:r>
        <w:rPr>
          <w:rFonts w:ascii="Times New Roman" w:hAnsi="Times New Roman" w:cs="Times New Roman"/>
          <w:bCs/>
          <w:sz w:val="24"/>
          <w:szCs w:val="24"/>
        </w:rPr>
        <w:t>óptimas</w:t>
      </w:r>
      <w:r w:rsidRPr="006550DC">
        <w:rPr>
          <w:rFonts w:ascii="Times New Roman" w:hAnsi="Times New Roman" w:cs="Times New Roman"/>
          <w:bCs/>
          <w:sz w:val="24"/>
          <w:szCs w:val="24"/>
        </w:rPr>
        <w:t xml:space="preserve"> para la presencia de la especie a lo largo del ciclo anual</w:t>
      </w:r>
      <w:r>
        <w:rPr>
          <w:rFonts w:ascii="Times New Roman" w:hAnsi="Times New Roman" w:cs="Times New Roman"/>
          <w:bCs/>
          <w:sz w:val="24"/>
          <w:szCs w:val="24"/>
        </w:rPr>
        <w:t>,</w:t>
      </w:r>
      <w:r w:rsidRPr="006550DC">
        <w:rPr>
          <w:rFonts w:ascii="Times New Roman" w:hAnsi="Times New Roman" w:cs="Times New Roman"/>
          <w:bCs/>
          <w:sz w:val="24"/>
          <w:szCs w:val="24"/>
        </w:rPr>
        <w:t xml:space="preserve"> siendo 0 ausencia y </w:t>
      </w:r>
      <w:r>
        <w:rPr>
          <w:rFonts w:ascii="Times New Roman" w:hAnsi="Times New Roman" w:cs="Times New Roman"/>
          <w:bCs/>
          <w:sz w:val="24"/>
          <w:szCs w:val="24"/>
        </w:rPr>
        <w:t>1-</w:t>
      </w:r>
      <w:r w:rsidRPr="006550DC">
        <w:rPr>
          <w:rFonts w:ascii="Times New Roman" w:hAnsi="Times New Roman" w:cs="Times New Roman"/>
          <w:bCs/>
          <w:sz w:val="24"/>
          <w:szCs w:val="24"/>
        </w:rPr>
        <w:t>12 presencia durante el año.</w:t>
      </w:r>
      <w:r>
        <w:rPr>
          <w:rFonts w:ascii="Times New Roman" w:hAnsi="Times New Roman" w:cs="Times New Roman"/>
          <w:bCs/>
          <w:sz w:val="24"/>
          <w:szCs w:val="24"/>
        </w:rPr>
        <w:t xml:space="preserve"> Los puntos indican la localidad de ocurrencia de la especie. </w:t>
      </w:r>
    </w:p>
    <w:p w14:paraId="2FCA7ECA" w14:textId="77777777" w:rsidR="002C2257" w:rsidRDefault="002C2257" w:rsidP="002C2257">
      <w:pPr>
        <w:spacing w:line="276" w:lineRule="auto"/>
        <w:ind w:firstLine="0"/>
        <w:jc w:val="left"/>
        <w:rPr>
          <w:rFonts w:ascii="Arial" w:hAnsi="Arial" w:cs="Arial"/>
          <w:bCs/>
          <w:sz w:val="24"/>
          <w:szCs w:val="24"/>
          <w:lang w:val="en-US"/>
        </w:rPr>
      </w:pPr>
      <w:r>
        <w:rPr>
          <w:rFonts w:ascii="Arial" w:hAnsi="Arial" w:cs="Arial"/>
          <w:bCs/>
          <w:noProof/>
          <w:sz w:val="24"/>
          <w:szCs w:val="24"/>
          <w:lang w:val="es-ES_tradnl" w:eastAsia="es-ES_tradnl"/>
        </w:rPr>
        <w:drawing>
          <wp:inline distT="0" distB="0" distL="0" distR="0" wp14:anchorId="1589C1EA" wp14:editId="60E0EE85">
            <wp:extent cx="4243549" cy="7139940"/>
            <wp:effectExtent l="0" t="0" r="0" b="0"/>
            <wp:docPr id="6" name="Imagen 6" desc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9769" cy="7150405"/>
                    </a:xfrm>
                    <a:prstGeom prst="rect">
                      <a:avLst/>
                    </a:prstGeom>
                    <a:noFill/>
                    <a:ln>
                      <a:noFill/>
                    </a:ln>
                  </pic:spPr>
                </pic:pic>
              </a:graphicData>
            </a:graphic>
          </wp:inline>
        </w:drawing>
      </w:r>
    </w:p>
    <w:p w14:paraId="066ECF46" w14:textId="77777777" w:rsidR="002C2257" w:rsidRDefault="002C2257" w:rsidP="002C2257">
      <w:pPr>
        <w:spacing w:line="276" w:lineRule="auto"/>
        <w:ind w:firstLine="0"/>
        <w:jc w:val="left"/>
        <w:rPr>
          <w:rFonts w:ascii="Arial" w:hAnsi="Arial" w:cs="Arial"/>
          <w:bCs/>
          <w:sz w:val="24"/>
          <w:szCs w:val="24"/>
          <w:lang w:val="en-US"/>
        </w:rPr>
      </w:pPr>
    </w:p>
    <w:p w14:paraId="64125345" w14:textId="77777777" w:rsidR="002C2257" w:rsidRDefault="002C2257" w:rsidP="002C2257">
      <w:pPr>
        <w:autoSpaceDE w:val="0"/>
        <w:autoSpaceDN w:val="0"/>
        <w:adjustRightInd w:val="0"/>
        <w:spacing w:after="240" w:line="240" w:lineRule="auto"/>
        <w:ind w:firstLine="0"/>
        <w:rPr>
          <w:rFonts w:ascii="Times New Roman" w:hAnsi="Times New Roman" w:cs="Times New Roman"/>
          <w:bCs/>
          <w:sz w:val="24"/>
          <w:szCs w:val="24"/>
        </w:rPr>
      </w:pPr>
      <w:r>
        <w:rPr>
          <w:rFonts w:ascii="Times New Roman" w:hAnsi="Times New Roman" w:cs="Times New Roman"/>
          <w:bCs/>
          <w:sz w:val="24"/>
          <w:szCs w:val="24"/>
        </w:rPr>
        <w:t>Figura 2</w:t>
      </w:r>
      <w:r w:rsidRPr="006550DC">
        <w:rPr>
          <w:rFonts w:ascii="Times New Roman" w:hAnsi="Times New Roman" w:cs="Times New Roman"/>
          <w:bCs/>
          <w:sz w:val="24"/>
          <w:szCs w:val="24"/>
        </w:rPr>
        <w:t xml:space="preserve">. Distribución geográfica </w:t>
      </w:r>
      <w:r>
        <w:rPr>
          <w:rFonts w:ascii="Times New Roman" w:hAnsi="Times New Roman" w:cs="Times New Roman"/>
          <w:bCs/>
          <w:sz w:val="24"/>
          <w:szCs w:val="24"/>
        </w:rPr>
        <w:t xml:space="preserve">potencial de </w:t>
      </w:r>
      <w:r w:rsidRPr="00F31C15">
        <w:rPr>
          <w:rFonts w:ascii="Times New Roman" w:hAnsi="Times New Roman" w:cs="Times New Roman"/>
          <w:bCs/>
          <w:i/>
          <w:sz w:val="24"/>
          <w:szCs w:val="24"/>
        </w:rPr>
        <w:t>A. finschi</w:t>
      </w:r>
      <w:r>
        <w:rPr>
          <w:rFonts w:ascii="Times New Roman" w:hAnsi="Times New Roman" w:cs="Times New Roman"/>
          <w:bCs/>
          <w:sz w:val="24"/>
          <w:szCs w:val="24"/>
        </w:rPr>
        <w:t xml:space="preserve"> para </w:t>
      </w:r>
      <w:r w:rsidRPr="006550DC">
        <w:rPr>
          <w:rFonts w:ascii="Times New Roman" w:hAnsi="Times New Roman" w:cs="Times New Roman"/>
          <w:bCs/>
          <w:sz w:val="24"/>
          <w:szCs w:val="24"/>
        </w:rPr>
        <w:t>la temporada de s</w:t>
      </w:r>
      <w:r>
        <w:rPr>
          <w:rFonts w:ascii="Times New Roman" w:hAnsi="Times New Roman" w:cs="Times New Roman"/>
          <w:bCs/>
          <w:sz w:val="24"/>
          <w:szCs w:val="24"/>
        </w:rPr>
        <w:t xml:space="preserve">ecas o reproductiva (A) y para la </w:t>
      </w:r>
      <w:r w:rsidRPr="006550DC">
        <w:rPr>
          <w:rFonts w:ascii="Times New Roman" w:hAnsi="Times New Roman" w:cs="Times New Roman"/>
          <w:bCs/>
          <w:sz w:val="24"/>
          <w:szCs w:val="24"/>
        </w:rPr>
        <w:t xml:space="preserve">temporada </w:t>
      </w:r>
      <w:r>
        <w:rPr>
          <w:rFonts w:ascii="Times New Roman" w:hAnsi="Times New Roman" w:cs="Times New Roman"/>
          <w:bCs/>
          <w:sz w:val="24"/>
          <w:szCs w:val="24"/>
        </w:rPr>
        <w:t>de lluvias o no reproductiva(B)</w:t>
      </w:r>
      <w:r w:rsidRPr="006550DC">
        <w:rPr>
          <w:rFonts w:ascii="Times New Roman" w:hAnsi="Times New Roman" w:cs="Times New Roman"/>
          <w:bCs/>
          <w:sz w:val="24"/>
          <w:szCs w:val="24"/>
        </w:rPr>
        <w:t>.</w:t>
      </w:r>
    </w:p>
    <w:p w14:paraId="2E1169AA" w14:textId="77777777" w:rsidR="002C2257" w:rsidRPr="00C65FD3" w:rsidRDefault="002C2257" w:rsidP="002C2257">
      <w:pPr>
        <w:spacing w:line="276" w:lineRule="auto"/>
        <w:ind w:firstLine="0"/>
        <w:jc w:val="left"/>
        <w:rPr>
          <w:rFonts w:ascii="Arial" w:hAnsi="Arial" w:cs="Arial"/>
          <w:bCs/>
          <w:sz w:val="24"/>
          <w:szCs w:val="24"/>
        </w:rPr>
      </w:pPr>
    </w:p>
    <w:p w14:paraId="6D0F724D" w14:textId="77777777" w:rsidR="002C2257" w:rsidRPr="00C65FD3" w:rsidRDefault="002C2257" w:rsidP="002C2257">
      <w:pPr>
        <w:spacing w:line="276" w:lineRule="auto"/>
        <w:ind w:firstLine="0"/>
        <w:jc w:val="left"/>
        <w:rPr>
          <w:rFonts w:ascii="Arial" w:hAnsi="Arial" w:cs="Arial"/>
          <w:bCs/>
          <w:sz w:val="24"/>
          <w:szCs w:val="24"/>
        </w:rPr>
      </w:pPr>
    </w:p>
    <w:p w14:paraId="04A0E21F" w14:textId="77777777" w:rsidR="002C2257" w:rsidRPr="00C65FD3" w:rsidRDefault="002C2257" w:rsidP="002C2257">
      <w:pPr>
        <w:spacing w:line="276" w:lineRule="auto"/>
        <w:ind w:firstLine="0"/>
        <w:jc w:val="left"/>
        <w:rPr>
          <w:rFonts w:ascii="Arial" w:hAnsi="Arial" w:cs="Arial"/>
          <w:bCs/>
          <w:sz w:val="24"/>
          <w:szCs w:val="24"/>
        </w:rPr>
      </w:pPr>
    </w:p>
    <w:p w14:paraId="2B0F7357" w14:textId="77777777" w:rsidR="002C2257" w:rsidRPr="00C65FD3" w:rsidRDefault="002C2257" w:rsidP="002C2257">
      <w:pPr>
        <w:spacing w:line="276" w:lineRule="auto"/>
        <w:ind w:firstLine="0"/>
        <w:jc w:val="left"/>
        <w:rPr>
          <w:rFonts w:ascii="Arial" w:hAnsi="Arial" w:cs="Arial"/>
          <w:bCs/>
          <w:sz w:val="24"/>
          <w:szCs w:val="24"/>
        </w:rPr>
      </w:pPr>
    </w:p>
    <w:p w14:paraId="0AC88D4D" w14:textId="77777777" w:rsidR="002C2257" w:rsidRPr="00C65FD3" w:rsidRDefault="002C2257" w:rsidP="002C2257">
      <w:pPr>
        <w:spacing w:line="276" w:lineRule="auto"/>
        <w:ind w:firstLine="0"/>
        <w:jc w:val="left"/>
        <w:rPr>
          <w:rFonts w:ascii="Arial" w:hAnsi="Arial" w:cs="Arial"/>
          <w:bCs/>
          <w:sz w:val="24"/>
          <w:szCs w:val="24"/>
        </w:rPr>
      </w:pPr>
    </w:p>
    <w:p w14:paraId="4AE17B65" w14:textId="77777777" w:rsidR="002C2257" w:rsidRPr="00C65FD3" w:rsidRDefault="002C2257" w:rsidP="002C2257">
      <w:pPr>
        <w:spacing w:line="276" w:lineRule="auto"/>
        <w:ind w:firstLine="0"/>
        <w:jc w:val="left"/>
        <w:rPr>
          <w:rFonts w:ascii="Arial" w:hAnsi="Arial" w:cs="Arial"/>
          <w:bCs/>
          <w:sz w:val="24"/>
          <w:szCs w:val="24"/>
        </w:rPr>
      </w:pPr>
    </w:p>
    <w:p w14:paraId="4747A2EA" w14:textId="77777777" w:rsidR="002C2257" w:rsidRDefault="002C2257" w:rsidP="002C2257">
      <w:pPr>
        <w:spacing w:line="276" w:lineRule="auto"/>
        <w:ind w:firstLine="0"/>
        <w:jc w:val="left"/>
        <w:rPr>
          <w:rFonts w:ascii="Arial" w:hAnsi="Arial" w:cs="Arial"/>
          <w:bCs/>
          <w:sz w:val="24"/>
          <w:szCs w:val="24"/>
          <w:lang w:val="en-US"/>
        </w:rPr>
      </w:pPr>
      <w:r>
        <w:rPr>
          <w:rFonts w:ascii="Arial" w:hAnsi="Arial" w:cs="Arial"/>
          <w:bCs/>
          <w:noProof/>
          <w:sz w:val="24"/>
          <w:szCs w:val="24"/>
          <w:lang w:val="es-ES_tradnl" w:eastAsia="es-ES_tradnl"/>
        </w:rPr>
        <w:drawing>
          <wp:inline distT="0" distB="0" distL="0" distR="0" wp14:anchorId="302B4D38" wp14:editId="083E1C36">
            <wp:extent cx="5041392" cy="342595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cipitacion y temperatur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392" cy="3425952"/>
                    </a:xfrm>
                    <a:prstGeom prst="rect">
                      <a:avLst/>
                    </a:prstGeom>
                  </pic:spPr>
                </pic:pic>
              </a:graphicData>
            </a:graphic>
          </wp:inline>
        </w:drawing>
      </w:r>
    </w:p>
    <w:p w14:paraId="2241C0F4" w14:textId="77777777" w:rsidR="002C2257" w:rsidRPr="00A706DB" w:rsidRDefault="002C2257" w:rsidP="002C2257">
      <w:pPr>
        <w:autoSpaceDE w:val="0"/>
        <w:autoSpaceDN w:val="0"/>
        <w:adjustRightInd w:val="0"/>
        <w:spacing w:after="240" w:line="240" w:lineRule="auto"/>
        <w:ind w:firstLine="0"/>
        <w:rPr>
          <w:rFonts w:ascii="Times New Roman" w:hAnsi="Times New Roman" w:cs="Times New Roman"/>
          <w:bCs/>
          <w:sz w:val="24"/>
          <w:szCs w:val="24"/>
        </w:rPr>
      </w:pPr>
      <w:r>
        <w:rPr>
          <w:rFonts w:ascii="Times New Roman" w:hAnsi="Times New Roman" w:cs="Times New Roman"/>
          <w:bCs/>
          <w:sz w:val="24"/>
          <w:szCs w:val="24"/>
        </w:rPr>
        <w:t>Figura 3. Variación ecológica mensual considerando la temperatura y la</w:t>
      </w:r>
      <w:r w:rsidRPr="006550DC">
        <w:rPr>
          <w:rFonts w:ascii="Times New Roman" w:hAnsi="Times New Roman" w:cs="Times New Roman"/>
          <w:bCs/>
          <w:sz w:val="24"/>
          <w:szCs w:val="24"/>
        </w:rPr>
        <w:t xml:space="preserve"> precipitación.</w:t>
      </w:r>
    </w:p>
    <w:p w14:paraId="4F94113A" w14:textId="77777777" w:rsidR="002C2257" w:rsidRPr="00C65FD3" w:rsidRDefault="002C2257" w:rsidP="002C2257">
      <w:pPr>
        <w:spacing w:line="276" w:lineRule="auto"/>
        <w:ind w:firstLine="0"/>
        <w:jc w:val="left"/>
        <w:rPr>
          <w:rFonts w:ascii="Arial" w:hAnsi="Arial" w:cs="Arial"/>
          <w:bCs/>
          <w:sz w:val="24"/>
          <w:szCs w:val="24"/>
        </w:rPr>
      </w:pPr>
      <w:r w:rsidRPr="00C65FD3">
        <w:rPr>
          <w:rFonts w:ascii="Arial" w:hAnsi="Arial" w:cs="Arial"/>
          <w:bCs/>
          <w:sz w:val="24"/>
          <w:szCs w:val="24"/>
        </w:rPr>
        <w:br w:type="page"/>
      </w:r>
    </w:p>
    <w:p w14:paraId="7E65CDEF" w14:textId="77777777" w:rsidR="002C2257" w:rsidRDefault="002C2257" w:rsidP="002C2257">
      <w:pPr>
        <w:spacing w:line="276" w:lineRule="auto"/>
        <w:ind w:firstLine="0"/>
        <w:jc w:val="center"/>
        <w:rPr>
          <w:rFonts w:ascii="Arial" w:hAnsi="Arial" w:cs="Arial"/>
          <w:bCs/>
          <w:sz w:val="24"/>
          <w:szCs w:val="24"/>
          <w:lang w:val="en-US"/>
        </w:rPr>
      </w:pPr>
      <w:r>
        <w:rPr>
          <w:rFonts w:ascii="Arial" w:hAnsi="Arial" w:cs="Arial"/>
          <w:bCs/>
          <w:noProof/>
          <w:sz w:val="24"/>
          <w:szCs w:val="24"/>
          <w:lang w:val="es-ES_tradnl" w:eastAsia="es-ES_tradnl"/>
        </w:rPr>
        <w:drawing>
          <wp:inline distT="0" distB="0" distL="0" distR="0" wp14:anchorId="51CD064D" wp14:editId="4177AB23">
            <wp:extent cx="3802196" cy="6797040"/>
            <wp:effectExtent l="0" t="0" r="825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6145" cy="6804100"/>
                    </a:xfrm>
                    <a:prstGeom prst="rect">
                      <a:avLst/>
                    </a:prstGeom>
                  </pic:spPr>
                </pic:pic>
              </a:graphicData>
            </a:graphic>
          </wp:inline>
        </w:drawing>
      </w:r>
    </w:p>
    <w:p w14:paraId="229A514C" w14:textId="77777777" w:rsidR="002C2257" w:rsidRDefault="002C2257" w:rsidP="002C2257">
      <w:pPr>
        <w:autoSpaceDE w:val="0"/>
        <w:autoSpaceDN w:val="0"/>
        <w:adjustRightInd w:val="0"/>
        <w:spacing w:after="240" w:line="240" w:lineRule="auto"/>
        <w:ind w:firstLine="0"/>
        <w:rPr>
          <w:rFonts w:ascii="Times New Roman" w:hAnsi="Times New Roman" w:cs="Times New Roman"/>
          <w:bCs/>
          <w:sz w:val="24"/>
          <w:szCs w:val="24"/>
        </w:rPr>
      </w:pPr>
      <w:r>
        <w:rPr>
          <w:rFonts w:ascii="Times New Roman" w:hAnsi="Times New Roman" w:cs="Times New Roman"/>
          <w:bCs/>
          <w:sz w:val="24"/>
          <w:szCs w:val="24"/>
        </w:rPr>
        <w:t>Figura 4</w:t>
      </w:r>
      <w:r w:rsidRPr="006550DC">
        <w:rPr>
          <w:rFonts w:ascii="Times New Roman" w:hAnsi="Times New Roman" w:cs="Times New Roman"/>
          <w:bCs/>
          <w:sz w:val="24"/>
          <w:szCs w:val="24"/>
        </w:rPr>
        <w:t xml:space="preserve">. Distribución </w:t>
      </w:r>
      <w:r>
        <w:rPr>
          <w:rFonts w:ascii="Times New Roman" w:hAnsi="Times New Roman" w:cs="Times New Roman"/>
          <w:bCs/>
          <w:sz w:val="24"/>
          <w:szCs w:val="24"/>
        </w:rPr>
        <w:t xml:space="preserve">estacional por temporadas (reproductiva y no reproductiva) </w:t>
      </w:r>
      <w:r w:rsidRPr="006550DC">
        <w:rPr>
          <w:rFonts w:ascii="Times New Roman" w:hAnsi="Times New Roman" w:cs="Times New Roman"/>
          <w:bCs/>
          <w:sz w:val="24"/>
          <w:szCs w:val="24"/>
        </w:rPr>
        <w:t xml:space="preserve">de </w:t>
      </w:r>
      <w:r w:rsidRPr="00F31C15">
        <w:rPr>
          <w:rFonts w:ascii="Times New Roman" w:hAnsi="Times New Roman" w:cs="Times New Roman"/>
          <w:bCs/>
          <w:i/>
          <w:sz w:val="24"/>
          <w:szCs w:val="24"/>
        </w:rPr>
        <w:t>A. finschi</w:t>
      </w:r>
      <w:r>
        <w:rPr>
          <w:rFonts w:ascii="Times New Roman" w:hAnsi="Times New Roman" w:cs="Times New Roman"/>
          <w:bCs/>
          <w:sz w:val="24"/>
          <w:szCs w:val="24"/>
        </w:rPr>
        <w:t>con base en dos variables ambientales:</w:t>
      </w:r>
      <w:r w:rsidRPr="006550DC">
        <w:rPr>
          <w:rFonts w:ascii="Times New Roman" w:hAnsi="Times New Roman" w:cs="Times New Roman"/>
          <w:bCs/>
          <w:sz w:val="24"/>
          <w:szCs w:val="24"/>
        </w:rPr>
        <w:t>la temp</w:t>
      </w:r>
      <w:r>
        <w:rPr>
          <w:rFonts w:ascii="Times New Roman" w:hAnsi="Times New Roman" w:cs="Times New Roman"/>
          <w:bCs/>
          <w:sz w:val="24"/>
          <w:szCs w:val="24"/>
        </w:rPr>
        <w:t xml:space="preserve">eratura máxima y la temperatura </w:t>
      </w:r>
      <w:r w:rsidRPr="006550DC">
        <w:rPr>
          <w:rFonts w:ascii="Times New Roman" w:hAnsi="Times New Roman" w:cs="Times New Roman"/>
          <w:bCs/>
          <w:sz w:val="24"/>
          <w:szCs w:val="24"/>
        </w:rPr>
        <w:t>mínima (A); la precipitación y la temperatura mínima (B) y la precipitación y la te</w:t>
      </w:r>
      <w:r>
        <w:rPr>
          <w:rFonts w:ascii="Times New Roman" w:hAnsi="Times New Roman" w:cs="Times New Roman"/>
          <w:bCs/>
          <w:sz w:val="24"/>
          <w:szCs w:val="24"/>
        </w:rPr>
        <w:t>mperatura máxima (C).</w:t>
      </w:r>
    </w:p>
    <w:p w14:paraId="152D93AC" w14:textId="77777777" w:rsidR="002C2257" w:rsidRPr="00C65FD3" w:rsidRDefault="002C2257" w:rsidP="002C2257">
      <w:pPr>
        <w:spacing w:line="276" w:lineRule="auto"/>
        <w:ind w:firstLine="0"/>
        <w:jc w:val="left"/>
        <w:rPr>
          <w:rFonts w:ascii="Arial" w:hAnsi="Arial" w:cs="Arial"/>
          <w:bCs/>
          <w:sz w:val="24"/>
          <w:szCs w:val="24"/>
        </w:rPr>
      </w:pPr>
    </w:p>
    <w:p w14:paraId="1086F6C4" w14:textId="77777777" w:rsidR="002C2257" w:rsidRDefault="002C2257" w:rsidP="002C2257">
      <w:pPr>
        <w:spacing w:line="276" w:lineRule="auto"/>
        <w:ind w:firstLine="0"/>
        <w:jc w:val="left"/>
        <w:rPr>
          <w:rFonts w:ascii="Arial" w:hAnsi="Arial" w:cs="Arial"/>
          <w:bCs/>
          <w:sz w:val="24"/>
          <w:szCs w:val="24"/>
          <w:lang w:val="en-US"/>
        </w:rPr>
      </w:pPr>
      <w:r>
        <w:rPr>
          <w:rFonts w:ascii="Arial" w:hAnsi="Arial" w:cs="Arial"/>
          <w:bCs/>
          <w:noProof/>
          <w:sz w:val="24"/>
          <w:szCs w:val="24"/>
          <w:lang w:val="es-ES_tradnl" w:eastAsia="es-ES_tradnl"/>
        </w:rPr>
        <w:drawing>
          <wp:inline distT="0" distB="0" distL="0" distR="0" wp14:anchorId="26ED3E86" wp14:editId="7684683A">
            <wp:extent cx="4472635" cy="71443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5292" cy="7148562"/>
                    </a:xfrm>
                    <a:prstGeom prst="rect">
                      <a:avLst/>
                    </a:prstGeom>
                  </pic:spPr>
                </pic:pic>
              </a:graphicData>
            </a:graphic>
          </wp:inline>
        </w:drawing>
      </w:r>
    </w:p>
    <w:p w14:paraId="24B58968" w14:textId="77777777" w:rsidR="002C2257" w:rsidRDefault="002C2257" w:rsidP="002C2257">
      <w:pPr>
        <w:autoSpaceDE w:val="0"/>
        <w:autoSpaceDN w:val="0"/>
        <w:adjustRightInd w:val="0"/>
        <w:spacing w:after="240" w:line="240" w:lineRule="auto"/>
        <w:ind w:firstLine="0"/>
        <w:rPr>
          <w:rFonts w:ascii="Times New Roman" w:hAnsi="Times New Roman" w:cs="Times New Roman"/>
          <w:bCs/>
          <w:sz w:val="24"/>
          <w:szCs w:val="24"/>
        </w:rPr>
      </w:pPr>
      <w:r w:rsidRPr="003F7F8C">
        <w:rPr>
          <w:rFonts w:ascii="Times New Roman" w:hAnsi="Times New Roman" w:cs="Times New Roman"/>
          <w:bCs/>
          <w:sz w:val="24"/>
          <w:szCs w:val="24"/>
        </w:rPr>
        <w:t xml:space="preserve">Figura 5. Correspondencia geográfica entre la distribución potencial de </w:t>
      </w:r>
      <w:r w:rsidRPr="003F7F8C">
        <w:rPr>
          <w:rFonts w:ascii="Times New Roman" w:hAnsi="Times New Roman" w:cs="Times New Roman"/>
          <w:bCs/>
          <w:i/>
          <w:sz w:val="24"/>
          <w:szCs w:val="24"/>
        </w:rPr>
        <w:t>A. finschi</w:t>
      </w:r>
      <w:r w:rsidRPr="003F7F8C">
        <w:rPr>
          <w:rFonts w:ascii="Times New Roman" w:hAnsi="Times New Roman" w:cs="Times New Roman"/>
          <w:bCs/>
          <w:sz w:val="24"/>
          <w:szCs w:val="24"/>
        </w:rPr>
        <w:t xml:space="preserve"> y la presencia de árboles </w:t>
      </w:r>
      <w:r>
        <w:rPr>
          <w:rFonts w:ascii="Times New Roman" w:hAnsi="Times New Roman" w:cs="Times New Roman"/>
          <w:bCs/>
          <w:sz w:val="24"/>
          <w:szCs w:val="24"/>
        </w:rPr>
        <w:t>que sirven de alimento</w:t>
      </w:r>
      <w:r w:rsidRPr="003F7F8C">
        <w:rPr>
          <w:rFonts w:ascii="Times New Roman" w:hAnsi="Times New Roman" w:cs="Times New Roman"/>
          <w:bCs/>
          <w:sz w:val="24"/>
          <w:szCs w:val="24"/>
        </w:rPr>
        <w:t xml:space="preserve"> (A) y árboles</w:t>
      </w:r>
      <w:r>
        <w:rPr>
          <w:rFonts w:ascii="Times New Roman" w:hAnsi="Times New Roman" w:cs="Times New Roman"/>
          <w:bCs/>
          <w:sz w:val="24"/>
          <w:szCs w:val="24"/>
        </w:rPr>
        <w:t xml:space="preserve"> que sirven para nidificación </w:t>
      </w:r>
      <w:r w:rsidRPr="003F7F8C">
        <w:rPr>
          <w:rFonts w:ascii="Times New Roman" w:hAnsi="Times New Roman" w:cs="Times New Roman"/>
          <w:bCs/>
          <w:sz w:val="24"/>
          <w:szCs w:val="24"/>
        </w:rPr>
        <w:t>(B). La gradación de los grises corresponde a la coincidencia en la distribución de la riqueza.</w:t>
      </w:r>
    </w:p>
    <w:p w14:paraId="374B99D1" w14:textId="77777777" w:rsidR="002B464B" w:rsidRDefault="002B464B">
      <w:bookmarkStart w:id="11" w:name="_GoBack"/>
      <w:bookmarkEnd w:id="11"/>
    </w:p>
    <w:sectPr w:rsidR="002B464B" w:rsidSect="002F69EB">
      <w:pgSz w:w="12240" w:h="15840"/>
      <w:pgMar w:top="1701" w:right="1418" w:bottom="1418" w:left="1418"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97E82"/>
    <w:multiLevelType w:val="hybridMultilevel"/>
    <w:tmpl w:val="7B8E5BA4"/>
    <w:lvl w:ilvl="0" w:tplc="A6DA9AAE">
      <w:start w:val="1"/>
      <w:numFmt w:val="lowerLetter"/>
      <w:lvlText w:val="%1)"/>
      <w:lvlJc w:val="left"/>
      <w:pPr>
        <w:ind w:left="1069" w:hanging="360"/>
      </w:pPr>
      <w:rPr>
        <w:rFonts w:hint="default"/>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1">
    <w:nsid w:val="4037473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EA"/>
    <w:rsid w:val="001E6035"/>
    <w:rsid w:val="002B464B"/>
    <w:rsid w:val="002C2257"/>
    <w:rsid w:val="005E42E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7A0AA3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2EA"/>
    <w:pPr>
      <w:spacing w:after="200" w:line="360" w:lineRule="auto"/>
      <w:ind w:firstLine="709"/>
      <w:jc w:val="both"/>
    </w:pPr>
    <w:rPr>
      <w:sz w:val="22"/>
      <w:szCs w:val="22"/>
      <w:lang w:val="es-MX"/>
    </w:rPr>
  </w:style>
  <w:style w:type="paragraph" w:styleId="Ttulo1">
    <w:name w:val="heading 1"/>
    <w:basedOn w:val="Normal"/>
    <w:next w:val="Normal"/>
    <w:link w:val="Ttulo1Car"/>
    <w:uiPriority w:val="9"/>
    <w:qFormat/>
    <w:rsid w:val="002C225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C225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5">
    <w:name w:val="heading 5"/>
    <w:basedOn w:val="Normal"/>
    <w:next w:val="Normal"/>
    <w:link w:val="Ttulo5Car"/>
    <w:uiPriority w:val="9"/>
    <w:semiHidden/>
    <w:unhideWhenUsed/>
    <w:qFormat/>
    <w:rsid w:val="002C2257"/>
    <w:pPr>
      <w:keepNext/>
      <w:keepLines/>
      <w:spacing w:before="40" w:after="0" w:line="259" w:lineRule="auto"/>
      <w:ind w:firstLine="0"/>
      <w:jc w:val="left"/>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2257"/>
    <w:rPr>
      <w:rFonts w:asciiTheme="majorHAnsi" w:eastAsiaTheme="majorEastAsia" w:hAnsiTheme="majorHAnsi" w:cstheme="majorBidi"/>
      <w:b/>
      <w:bCs/>
      <w:color w:val="2E74B5" w:themeColor="accent1" w:themeShade="BF"/>
      <w:sz w:val="28"/>
      <w:szCs w:val="28"/>
      <w:lang w:val="es-MX"/>
    </w:rPr>
  </w:style>
  <w:style w:type="character" w:customStyle="1" w:styleId="Ttulo2Car">
    <w:name w:val="Título 2 Car"/>
    <w:basedOn w:val="Fuentedeprrafopredeter"/>
    <w:link w:val="Ttulo2"/>
    <w:uiPriority w:val="9"/>
    <w:rsid w:val="002C2257"/>
    <w:rPr>
      <w:rFonts w:asciiTheme="majorHAnsi" w:eastAsiaTheme="majorEastAsia" w:hAnsiTheme="majorHAnsi" w:cstheme="majorBidi"/>
      <w:b/>
      <w:bCs/>
      <w:color w:val="5B9BD5" w:themeColor="accent1"/>
      <w:sz w:val="26"/>
      <w:szCs w:val="26"/>
      <w:lang w:val="es-MX"/>
    </w:rPr>
  </w:style>
  <w:style w:type="character" w:customStyle="1" w:styleId="Ttulo5Car">
    <w:name w:val="Título 5 Car"/>
    <w:basedOn w:val="Fuentedeprrafopredeter"/>
    <w:link w:val="Ttulo5"/>
    <w:uiPriority w:val="9"/>
    <w:semiHidden/>
    <w:rsid w:val="002C2257"/>
    <w:rPr>
      <w:rFonts w:asciiTheme="majorHAnsi" w:eastAsiaTheme="majorEastAsia" w:hAnsiTheme="majorHAnsi" w:cstheme="majorBidi"/>
      <w:color w:val="2E74B5" w:themeColor="accent1" w:themeShade="BF"/>
      <w:sz w:val="22"/>
      <w:szCs w:val="22"/>
      <w:lang w:val="es-MX"/>
    </w:rPr>
  </w:style>
  <w:style w:type="paragraph" w:styleId="TtulodeTDC">
    <w:name w:val="TOC Heading"/>
    <w:basedOn w:val="Ttulo1"/>
    <w:next w:val="Normal"/>
    <w:uiPriority w:val="39"/>
    <w:unhideWhenUsed/>
    <w:qFormat/>
    <w:rsid w:val="002C2257"/>
    <w:pPr>
      <w:keepNext w:val="0"/>
      <w:keepLines w:val="0"/>
      <w:spacing w:before="300" w:after="40"/>
      <w:outlineLvl w:val="9"/>
    </w:pPr>
    <w:rPr>
      <w:rFonts w:asciiTheme="minorHAnsi" w:eastAsiaTheme="minorEastAsia" w:hAnsiTheme="minorHAnsi" w:cstheme="minorBidi"/>
      <w:b w:val="0"/>
      <w:bCs w:val="0"/>
      <w:smallCaps/>
      <w:color w:val="auto"/>
      <w:spacing w:val="5"/>
      <w:sz w:val="32"/>
      <w:szCs w:val="32"/>
      <w:lang w:val="en-US" w:bidi="en-US"/>
    </w:rPr>
  </w:style>
  <w:style w:type="paragraph" w:styleId="Encabezado">
    <w:name w:val="header"/>
    <w:basedOn w:val="Normal"/>
    <w:link w:val="EncabezadoCar"/>
    <w:uiPriority w:val="99"/>
    <w:unhideWhenUsed/>
    <w:rsid w:val="002C22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2257"/>
    <w:rPr>
      <w:sz w:val="22"/>
      <w:szCs w:val="22"/>
      <w:lang w:val="es-MX"/>
    </w:rPr>
  </w:style>
  <w:style w:type="paragraph" w:styleId="Piedepgina">
    <w:name w:val="footer"/>
    <w:basedOn w:val="Normal"/>
    <w:link w:val="PiedepginaCar"/>
    <w:uiPriority w:val="99"/>
    <w:unhideWhenUsed/>
    <w:rsid w:val="002C22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2257"/>
    <w:rPr>
      <w:sz w:val="22"/>
      <w:szCs w:val="22"/>
      <w:lang w:val="es-MX"/>
    </w:rPr>
  </w:style>
  <w:style w:type="paragraph" w:styleId="TDC1">
    <w:name w:val="toc 1"/>
    <w:basedOn w:val="Normal"/>
    <w:next w:val="Normal"/>
    <w:autoRedefine/>
    <w:uiPriority w:val="39"/>
    <w:unhideWhenUsed/>
    <w:rsid w:val="002C2257"/>
    <w:pPr>
      <w:tabs>
        <w:tab w:val="right" w:leader="dot" w:pos="10065"/>
      </w:tabs>
      <w:spacing w:after="100" w:line="240" w:lineRule="auto"/>
    </w:pPr>
  </w:style>
  <w:style w:type="character" w:styleId="Hipervnculo">
    <w:name w:val="Hyperlink"/>
    <w:basedOn w:val="Fuentedeprrafopredeter"/>
    <w:uiPriority w:val="99"/>
    <w:unhideWhenUsed/>
    <w:rsid w:val="002C2257"/>
    <w:rPr>
      <w:color w:val="0563C1" w:themeColor="hyperlink"/>
      <w:u w:val="single"/>
    </w:rPr>
  </w:style>
  <w:style w:type="paragraph" w:styleId="Textodeglobo">
    <w:name w:val="Balloon Text"/>
    <w:basedOn w:val="Normal"/>
    <w:link w:val="TextodegloboCar"/>
    <w:uiPriority w:val="99"/>
    <w:semiHidden/>
    <w:unhideWhenUsed/>
    <w:rsid w:val="002C2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257"/>
    <w:rPr>
      <w:rFonts w:ascii="Tahoma" w:hAnsi="Tahoma" w:cs="Tahoma"/>
      <w:sz w:val="16"/>
      <w:szCs w:val="16"/>
      <w:lang w:val="es-MX"/>
    </w:rPr>
  </w:style>
  <w:style w:type="character" w:customStyle="1" w:styleId="TextocomentarioCar">
    <w:name w:val="Texto comentario Car"/>
    <w:basedOn w:val="Fuentedeprrafopredeter"/>
    <w:link w:val="Textocomentario"/>
    <w:uiPriority w:val="99"/>
    <w:semiHidden/>
    <w:rsid w:val="002C2257"/>
    <w:rPr>
      <w:sz w:val="20"/>
      <w:szCs w:val="20"/>
    </w:rPr>
  </w:style>
  <w:style w:type="paragraph" w:styleId="Textocomentario">
    <w:name w:val="annotation text"/>
    <w:basedOn w:val="Normal"/>
    <w:link w:val="TextocomentarioCar"/>
    <w:uiPriority w:val="99"/>
    <w:semiHidden/>
    <w:unhideWhenUsed/>
    <w:rsid w:val="002C2257"/>
    <w:pPr>
      <w:spacing w:line="240" w:lineRule="auto"/>
    </w:pPr>
    <w:rPr>
      <w:sz w:val="20"/>
      <w:szCs w:val="20"/>
      <w:lang w:val="es-ES_tradnl"/>
    </w:rPr>
  </w:style>
  <w:style w:type="character" w:customStyle="1" w:styleId="TextocomentarioCar1">
    <w:name w:val="Texto comentario Car1"/>
    <w:basedOn w:val="Fuentedeprrafopredeter"/>
    <w:uiPriority w:val="99"/>
    <w:semiHidden/>
    <w:rsid w:val="002C2257"/>
    <w:rPr>
      <w:lang w:val="es-MX"/>
    </w:rPr>
  </w:style>
  <w:style w:type="character" w:customStyle="1" w:styleId="AsuntodelcomentarioCar">
    <w:name w:val="Asunto del comentario Car"/>
    <w:basedOn w:val="TextocomentarioCar"/>
    <w:link w:val="Asuntodelcomentario"/>
    <w:uiPriority w:val="99"/>
    <w:semiHidden/>
    <w:rsid w:val="002C2257"/>
    <w:rPr>
      <w:b/>
      <w:bCs/>
      <w:sz w:val="20"/>
      <w:szCs w:val="20"/>
    </w:rPr>
  </w:style>
  <w:style w:type="paragraph" w:styleId="Asuntodelcomentario">
    <w:name w:val="annotation subject"/>
    <w:basedOn w:val="Textocomentario"/>
    <w:next w:val="Textocomentario"/>
    <w:link w:val="AsuntodelcomentarioCar"/>
    <w:uiPriority w:val="99"/>
    <w:semiHidden/>
    <w:unhideWhenUsed/>
    <w:rsid w:val="002C2257"/>
    <w:rPr>
      <w:b/>
      <w:bCs/>
    </w:rPr>
  </w:style>
  <w:style w:type="character" w:customStyle="1" w:styleId="AsuntodelcomentarioCar1">
    <w:name w:val="Asunto del comentario Car1"/>
    <w:basedOn w:val="TextocomentarioCar1"/>
    <w:uiPriority w:val="99"/>
    <w:semiHidden/>
    <w:rsid w:val="002C2257"/>
    <w:rPr>
      <w:b/>
      <w:bCs/>
      <w:sz w:val="20"/>
      <w:szCs w:val="20"/>
      <w:lang w:val="es-MX"/>
    </w:rPr>
  </w:style>
  <w:style w:type="table" w:styleId="Tablaconcuadrcula">
    <w:name w:val="Table Grid"/>
    <w:basedOn w:val="Tablanormal"/>
    <w:uiPriority w:val="59"/>
    <w:rsid w:val="002C2257"/>
    <w:pPr>
      <w:ind w:firstLine="709"/>
      <w:jc w:val="both"/>
    </w:pPr>
    <w:rPr>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2C2257"/>
    <w:pPr>
      <w:tabs>
        <w:tab w:val="right" w:leader="dot" w:pos="10070"/>
      </w:tabs>
      <w:spacing w:after="100" w:line="240" w:lineRule="auto"/>
      <w:ind w:left="220"/>
    </w:pPr>
  </w:style>
  <w:style w:type="paragraph" w:styleId="Prrafodelista">
    <w:name w:val="List Paragraph"/>
    <w:basedOn w:val="Normal"/>
    <w:uiPriority w:val="34"/>
    <w:qFormat/>
    <w:rsid w:val="002C2257"/>
    <w:pPr>
      <w:ind w:left="720"/>
      <w:contextualSpacing/>
    </w:pPr>
  </w:style>
  <w:style w:type="paragraph" w:styleId="Descripcin">
    <w:name w:val="caption"/>
    <w:basedOn w:val="Normal"/>
    <w:next w:val="Normal"/>
    <w:uiPriority w:val="35"/>
    <w:unhideWhenUsed/>
    <w:qFormat/>
    <w:rsid w:val="002C2257"/>
    <w:pPr>
      <w:spacing w:line="240" w:lineRule="auto"/>
    </w:pPr>
    <w:rPr>
      <w:b/>
      <w:bCs/>
      <w:color w:val="5B9BD5" w:themeColor="accent1"/>
      <w:sz w:val="18"/>
      <w:szCs w:val="18"/>
    </w:rPr>
  </w:style>
  <w:style w:type="paragraph" w:styleId="Tabladeilustraciones">
    <w:name w:val="table of figures"/>
    <w:basedOn w:val="Normal"/>
    <w:next w:val="Normal"/>
    <w:uiPriority w:val="99"/>
    <w:unhideWhenUsed/>
    <w:rsid w:val="002C2257"/>
    <w:pPr>
      <w:spacing w:after="0"/>
    </w:pPr>
  </w:style>
  <w:style w:type="character" w:styleId="Refdecomentario">
    <w:name w:val="annotation reference"/>
    <w:basedOn w:val="Fuentedeprrafopredeter"/>
    <w:uiPriority w:val="99"/>
    <w:semiHidden/>
    <w:unhideWhenUsed/>
    <w:rsid w:val="002C2257"/>
    <w:rPr>
      <w:sz w:val="16"/>
      <w:szCs w:val="16"/>
    </w:rPr>
  </w:style>
  <w:style w:type="paragraph" w:styleId="NormalWeb">
    <w:name w:val="Normal (Web)"/>
    <w:basedOn w:val="Normal"/>
    <w:uiPriority w:val="99"/>
    <w:unhideWhenUsed/>
    <w:rsid w:val="002C2257"/>
    <w:pPr>
      <w:spacing w:before="100" w:beforeAutospacing="1" w:after="100" w:afterAutospacing="1" w:line="240" w:lineRule="auto"/>
      <w:ind w:firstLine="0"/>
      <w:jc w:val="left"/>
    </w:pPr>
    <w:rPr>
      <w:rFonts w:ascii="Times New Roman" w:eastAsiaTheme="minorEastAsia" w:hAnsi="Times New Roman" w:cs="Times New Roman"/>
      <w:sz w:val="24"/>
      <w:szCs w:val="24"/>
      <w:lang w:eastAsia="es-MX"/>
    </w:rPr>
  </w:style>
  <w:style w:type="paragraph" w:styleId="Textoindependiente2">
    <w:name w:val="Body Text 2"/>
    <w:link w:val="Textoindependiente2Car"/>
    <w:rsid w:val="002C2257"/>
    <w:pPr>
      <w:pBdr>
        <w:top w:val="nil"/>
        <w:left w:val="nil"/>
        <w:bottom w:val="nil"/>
        <w:right w:val="nil"/>
        <w:between w:val="nil"/>
        <w:bar w:val="nil"/>
      </w:pBdr>
      <w:spacing w:line="480" w:lineRule="auto"/>
      <w:jc w:val="center"/>
    </w:pPr>
    <w:rPr>
      <w:rFonts w:ascii="Times New Roman" w:eastAsia="Arial Unicode MS" w:hAnsi="Arial Unicode MS" w:cs="Arial Unicode MS"/>
      <w:i/>
      <w:iCs/>
      <w:color w:val="000000"/>
      <w:u w:color="000000"/>
      <w:bdr w:val="nil"/>
      <w:lang w:val="en-US" w:eastAsia="es-MX"/>
    </w:rPr>
  </w:style>
  <w:style w:type="character" w:customStyle="1" w:styleId="Textoindependiente2Car">
    <w:name w:val="Texto independiente 2 Car"/>
    <w:basedOn w:val="Fuentedeprrafopredeter"/>
    <w:link w:val="Textoindependiente2"/>
    <w:rsid w:val="002C2257"/>
    <w:rPr>
      <w:rFonts w:ascii="Times New Roman" w:eastAsia="Arial Unicode MS" w:hAnsi="Arial Unicode MS" w:cs="Arial Unicode MS"/>
      <w:i/>
      <w:iCs/>
      <w:color w:val="000000"/>
      <w:u w:color="000000"/>
      <w:bdr w:val="nil"/>
      <w:lang w:val="en-US" w:eastAsia="es-MX"/>
    </w:rPr>
  </w:style>
  <w:style w:type="paragraph" w:styleId="Sinespaciado">
    <w:name w:val="No Spacing"/>
    <w:uiPriority w:val="1"/>
    <w:qFormat/>
    <w:rsid w:val="002C2257"/>
    <w:pPr>
      <w:ind w:firstLine="709"/>
      <w:jc w:val="both"/>
    </w:pPr>
    <w:rPr>
      <w:sz w:val="22"/>
      <w:szCs w:val="22"/>
      <w:lang w:val="es-MX"/>
    </w:rPr>
  </w:style>
  <w:style w:type="paragraph" w:styleId="Revisin">
    <w:name w:val="Revision"/>
    <w:hidden/>
    <w:uiPriority w:val="99"/>
    <w:semiHidden/>
    <w:rsid w:val="002C2257"/>
    <w:rPr>
      <w:sz w:val="22"/>
      <w:szCs w:val="22"/>
      <w:lang w:val="es-MX"/>
    </w:rPr>
  </w:style>
  <w:style w:type="character" w:customStyle="1" w:styleId="apple-converted-space">
    <w:name w:val="apple-converted-space"/>
    <w:basedOn w:val="Fuentedeprrafopredeter"/>
    <w:rsid w:val="002C2257"/>
  </w:style>
  <w:style w:type="character" w:customStyle="1" w:styleId="st">
    <w:name w:val="st"/>
    <w:basedOn w:val="Fuentedeprrafopredeter"/>
    <w:rsid w:val="002C2257"/>
  </w:style>
  <w:style w:type="character" w:customStyle="1" w:styleId="hps">
    <w:name w:val="hps"/>
    <w:basedOn w:val="Fuentedeprrafopredeter"/>
    <w:rsid w:val="002C2257"/>
  </w:style>
  <w:style w:type="character" w:customStyle="1" w:styleId="author">
    <w:name w:val="author"/>
    <w:basedOn w:val="Fuentedeprrafopredeter"/>
    <w:rsid w:val="002C2257"/>
  </w:style>
  <w:style w:type="character" w:customStyle="1" w:styleId="pubyear">
    <w:name w:val="pubyear"/>
    <w:basedOn w:val="Fuentedeprrafopredeter"/>
    <w:rsid w:val="002C2257"/>
  </w:style>
  <w:style w:type="character" w:customStyle="1" w:styleId="nlmyear">
    <w:name w:val="nlm_year"/>
    <w:basedOn w:val="Fuentedeprrafopredeter"/>
    <w:rsid w:val="002C2257"/>
  </w:style>
  <w:style w:type="character" w:styleId="CitaHTML">
    <w:name w:val="HTML Cite"/>
    <w:basedOn w:val="Fuentedeprrafopredeter"/>
    <w:uiPriority w:val="99"/>
    <w:semiHidden/>
    <w:unhideWhenUsed/>
    <w:rsid w:val="002C2257"/>
    <w:rPr>
      <w:i/>
      <w:iCs/>
    </w:rPr>
  </w:style>
  <w:style w:type="character" w:customStyle="1" w:styleId="articletitle">
    <w:name w:val="articletitle"/>
    <w:basedOn w:val="Fuentedeprrafopredeter"/>
    <w:rsid w:val="002C2257"/>
  </w:style>
  <w:style w:type="character" w:customStyle="1" w:styleId="journaltitle">
    <w:name w:val="journaltitle"/>
    <w:basedOn w:val="Fuentedeprrafopredeter"/>
    <w:rsid w:val="002C2257"/>
  </w:style>
  <w:style w:type="character" w:customStyle="1" w:styleId="vol">
    <w:name w:val="vol"/>
    <w:basedOn w:val="Fuentedeprrafopredeter"/>
    <w:rsid w:val="002C2257"/>
  </w:style>
  <w:style w:type="character" w:customStyle="1" w:styleId="pagefirst">
    <w:name w:val="pagefirst"/>
    <w:basedOn w:val="Fuentedeprrafopredeter"/>
    <w:rsid w:val="002C2257"/>
  </w:style>
  <w:style w:type="character" w:customStyle="1" w:styleId="pagelast">
    <w:name w:val="pagelast"/>
    <w:basedOn w:val="Fuentedeprrafopredeter"/>
    <w:rsid w:val="002C2257"/>
  </w:style>
  <w:style w:type="character" w:customStyle="1" w:styleId="nlmarticle-title">
    <w:name w:val="nlm_article-title"/>
    <w:basedOn w:val="Fuentedeprrafopredeter"/>
    <w:rsid w:val="002C2257"/>
  </w:style>
  <w:style w:type="character" w:customStyle="1" w:styleId="nlmfpage">
    <w:name w:val="nlm_fpage"/>
    <w:basedOn w:val="Fuentedeprrafopredeter"/>
    <w:rsid w:val="002C2257"/>
  </w:style>
  <w:style w:type="character" w:customStyle="1" w:styleId="nlmlpage">
    <w:name w:val="nlm_lpage"/>
    <w:basedOn w:val="Fuentedeprrafopredeter"/>
    <w:rsid w:val="002C2257"/>
  </w:style>
  <w:style w:type="paragraph" w:customStyle="1" w:styleId="Default">
    <w:name w:val="Default"/>
    <w:rsid w:val="002C2257"/>
    <w:pPr>
      <w:autoSpaceDE w:val="0"/>
      <w:autoSpaceDN w:val="0"/>
      <w:adjustRightInd w:val="0"/>
    </w:pPr>
    <w:rPr>
      <w:rFonts w:ascii="Times New Roman" w:hAnsi="Times New Roman" w:cs="Times New Roman"/>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edc.usgs.gov/products/elevation/gtopo30/hydro/index.html" TargetMode="External"/><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6123</Words>
  <Characters>33679</Characters>
  <Application>Microsoft Macintosh Word</Application>
  <DocSecurity>0</DocSecurity>
  <Lines>280</Lines>
  <Paragraphs>79</Paragraphs>
  <ScaleCrop>false</ScaleCrop>
  <LinksUpToDate>false</LinksUpToDate>
  <CharactersWithSpaces>39723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Sánchez</dc:creator>
  <cp:keywords/>
  <dc:description/>
  <cp:lastModifiedBy>Alejandro Sánchez</cp:lastModifiedBy>
  <cp:revision>2</cp:revision>
  <dcterms:created xsi:type="dcterms:W3CDTF">2016-06-29T21:12:00Z</dcterms:created>
  <dcterms:modified xsi:type="dcterms:W3CDTF">2016-06-29T21:12:00Z</dcterms:modified>
</cp:coreProperties>
</file>