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211E" w14:textId="480A3202" w:rsidR="008D2E87" w:rsidRDefault="00844D8D">
      <w:pPr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noProof/>
          <w:color w:val="767171"/>
          <w:kern w:val="2"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4A2D6133" wp14:editId="5CF96CA6">
            <wp:simplePos x="688312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3" name="Imagen 3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, Cart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E87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14:ligatures w14:val="standardContextual"/>
        </w:rPr>
        <w:br w:type="page"/>
      </w:r>
    </w:p>
    <w:p w14:paraId="6D58738F" w14:textId="1997C8B9" w:rsidR="006541C6" w:rsidRPr="006541C6" w:rsidRDefault="006541C6" w:rsidP="006541C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14:ligatures w14:val="standardContextual"/>
        </w:rPr>
      </w:pPr>
      <w:r w:rsidRPr="006541C6">
        <w:rPr>
          <w:rFonts w:ascii="Times New Roman" w:eastAsia="Calibri" w:hAnsi="Times New Roman" w:cs="Times New Roman"/>
          <w:b/>
          <w:color w:val="767171"/>
          <w:kern w:val="2"/>
          <w:sz w:val="20"/>
          <w:szCs w:val="24"/>
          <w14:ligatures w14:val="standardContextua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75562F28" w14:textId="77777777" w:rsidR="006541C6" w:rsidRPr="006541C6" w:rsidRDefault="006541C6" w:rsidP="006541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65BF544" w14:textId="77777777" w:rsidR="006541C6" w:rsidRPr="006541C6" w:rsidRDefault="006541C6" w:rsidP="006541C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</w:pPr>
      <w:r w:rsidRPr="006541C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s-ES"/>
          <w14:ligatures w14:val="standardContextual"/>
        </w:rPr>
        <w:t>Reseñas (sección no arbitrada)</w:t>
      </w:r>
    </w:p>
    <w:p w14:paraId="62600781" w14:textId="77777777" w:rsidR="006541C6" w:rsidRDefault="006541C6" w:rsidP="003763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640C841" w14:textId="111C3032" w:rsidR="00D104E1" w:rsidRPr="00C721F2" w:rsidRDefault="00AF7E6E" w:rsidP="00376340">
      <w:pPr>
        <w:spacing w:before="240" w:after="20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s-CR"/>
        </w:rPr>
      </w:pPr>
      <w:r w:rsidRPr="00376340">
        <w:rPr>
          <w:rFonts w:ascii="Times New Roman" w:hAnsi="Times New Roman" w:cs="Times New Roman"/>
          <w:b/>
          <w:bCs/>
          <w:sz w:val="32"/>
          <w:szCs w:val="32"/>
          <w:lang w:val="es-MX"/>
        </w:rPr>
        <w:t>Víctor Hugo Acuña Ortega</w:t>
      </w:r>
      <w:r w:rsidR="00A3526D" w:rsidRPr="00376340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(Ed.)</w:t>
      </w:r>
      <w:r w:rsidR="00A35D2A" w:rsidRPr="00376340">
        <w:rPr>
          <w:rFonts w:ascii="Times New Roman" w:hAnsi="Times New Roman" w:cs="Times New Roman"/>
          <w:b/>
          <w:bCs/>
          <w:sz w:val="32"/>
          <w:szCs w:val="32"/>
          <w:lang w:val="es-MX"/>
        </w:rPr>
        <w:t>. (2024).</w:t>
      </w:r>
      <w:r w:rsidRPr="00376340">
        <w:rPr>
          <w:rFonts w:ascii="Times New Roman" w:hAnsi="Times New Roman" w:cs="Times New Roman"/>
          <w:b/>
          <w:bCs/>
          <w:sz w:val="32"/>
          <w:szCs w:val="32"/>
          <w:lang w:val="es-MX"/>
        </w:rPr>
        <w:t xml:space="preserve"> </w:t>
      </w:r>
      <w:r w:rsidRPr="00376340">
        <w:rPr>
          <w:rFonts w:ascii="Times New Roman" w:hAnsi="Times New Roman" w:cs="Times New Roman"/>
          <w:b/>
          <w:bCs/>
          <w:i/>
          <w:sz w:val="32"/>
          <w:szCs w:val="32"/>
          <w:lang w:val="es-MX"/>
        </w:rPr>
        <w:t xml:space="preserve">Antonino de Barruel. Para la historia. </w:t>
      </w:r>
      <w:r w:rsidRPr="00C721F2">
        <w:rPr>
          <w:rFonts w:ascii="Times New Roman" w:hAnsi="Times New Roman" w:cs="Times New Roman"/>
          <w:b/>
          <w:bCs/>
          <w:i/>
          <w:sz w:val="32"/>
          <w:szCs w:val="32"/>
          <w:lang w:val="es-CR"/>
        </w:rPr>
        <w:t>Un relato de la guerra contra Walker</w:t>
      </w:r>
      <w:r w:rsidR="009F618E" w:rsidRPr="00C721F2">
        <w:rPr>
          <w:rFonts w:ascii="Times New Roman" w:hAnsi="Times New Roman" w:cs="Times New Roman"/>
          <w:b/>
          <w:bCs/>
          <w:i/>
          <w:sz w:val="32"/>
          <w:szCs w:val="32"/>
          <w:lang w:val="es-CR"/>
        </w:rPr>
        <w:t xml:space="preserve">. </w:t>
      </w:r>
      <w:r w:rsidR="00997ABB" w:rsidRPr="00C721F2">
        <w:rPr>
          <w:rFonts w:ascii="Times New Roman" w:hAnsi="Times New Roman" w:cs="Times New Roman"/>
          <w:b/>
          <w:bCs/>
          <w:sz w:val="32"/>
          <w:szCs w:val="32"/>
          <w:lang w:val="es-CR"/>
        </w:rPr>
        <w:t>San José: Editorial UCR</w:t>
      </w:r>
      <w:r w:rsidR="00A35D2A" w:rsidRPr="00C721F2">
        <w:rPr>
          <w:rFonts w:ascii="Times New Roman" w:hAnsi="Times New Roman" w:cs="Times New Roman"/>
          <w:b/>
          <w:bCs/>
          <w:sz w:val="32"/>
          <w:szCs w:val="32"/>
          <w:lang w:val="es-CR"/>
        </w:rPr>
        <w:t>. [pp. 196]</w:t>
      </w:r>
      <w:r w:rsidR="00B130D8">
        <w:rPr>
          <w:rStyle w:val="Refdenotaalpie"/>
          <w:rFonts w:ascii="Times New Roman" w:hAnsi="Times New Roman" w:cs="Times New Roman"/>
          <w:b/>
          <w:bCs/>
          <w:sz w:val="32"/>
          <w:szCs w:val="32"/>
          <w:lang w:val="es-CR"/>
        </w:rPr>
        <w:footnoteReference w:id="1"/>
      </w:r>
    </w:p>
    <w:p w14:paraId="333BC745" w14:textId="125A5E57" w:rsidR="00296268" w:rsidRPr="00C721F2" w:rsidRDefault="00152661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anchor distT="0" distB="0" distL="114300" distR="114300" simplePos="0" relativeHeight="251658240" behindDoc="1" locked="0" layoutInCell="1" allowOverlap="1" wp14:anchorId="26AE4A40" wp14:editId="5F076868">
            <wp:simplePos x="0" y="0"/>
            <wp:positionH relativeFrom="column">
              <wp:posOffset>5087620</wp:posOffset>
            </wp:positionH>
            <wp:positionV relativeFrom="paragraph">
              <wp:posOffset>25400</wp:posOffset>
            </wp:positionV>
            <wp:extent cx="1180800" cy="1681200"/>
            <wp:effectExtent l="0" t="0" r="635" b="0"/>
            <wp:wrapTight wrapText="bothSides">
              <wp:wrapPolygon edited="0">
                <wp:start x="0" y="0"/>
                <wp:lineTo x="0" y="21298"/>
                <wp:lineTo x="21263" y="21298"/>
                <wp:lineTo x="21263" y="0"/>
                <wp:lineTo x="0" y="0"/>
              </wp:wrapPolygon>
            </wp:wrapTight>
            <wp:docPr id="1" name="Imagen 1" descr="Una persona con un texto en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persona con un texto en blanc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1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8F244" w14:textId="058855C1" w:rsidR="00303FD7" w:rsidRPr="00C721F2" w:rsidRDefault="004925ED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C721F2">
        <w:rPr>
          <w:rFonts w:ascii="Times New Roman" w:hAnsi="Times New Roman" w:cs="Times New Roman"/>
          <w:sz w:val="24"/>
          <w:szCs w:val="24"/>
          <w:lang w:val="es-CR"/>
        </w:rPr>
        <w:t>Patricia Alvarenga Venutolo</w:t>
      </w:r>
      <w:r w:rsidR="00296268">
        <w:rPr>
          <w:rStyle w:val="Refdenotaalfinal"/>
          <w:rFonts w:ascii="Times New Roman" w:hAnsi="Times New Roman" w:cs="Times New Roman"/>
          <w:sz w:val="24"/>
          <w:szCs w:val="24"/>
          <w:lang w:val="it-IT"/>
        </w:rPr>
        <w:endnoteReference w:id="1"/>
      </w:r>
    </w:p>
    <w:p w14:paraId="05884E33" w14:textId="03FA8B55" w:rsidR="00296268" w:rsidRPr="00296268" w:rsidRDefault="00296268" w:rsidP="0029626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i/>
          <w:iCs/>
          <w:sz w:val="24"/>
          <w:szCs w:val="24"/>
          <w:lang w:val="es-MX"/>
        </w:rPr>
        <w:t>Universidad Nacional de Costa Rica, Heredia, Costa Rica</w:t>
      </w:r>
    </w:p>
    <w:p w14:paraId="751695A4" w14:textId="5D9A73EE" w:rsidR="00296268" w:rsidRPr="00D22601" w:rsidRDefault="003B2C5B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hyperlink r:id="rId9" w:history="1">
        <w:r w:rsidR="00296268" w:rsidRPr="00D2260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s-MX"/>
          </w:rPr>
          <w:t>patriciaalvarengavenutolo@gmail.com</w:t>
        </w:r>
      </w:hyperlink>
    </w:p>
    <w:p w14:paraId="23BFDB28" w14:textId="6C5F5A36" w:rsidR="00296268" w:rsidRPr="00D22601" w:rsidRDefault="00296268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104BB17" w14:textId="576857D8" w:rsidR="00296268" w:rsidRPr="00D22601" w:rsidRDefault="00296268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22601">
        <w:rPr>
          <w:rFonts w:ascii="Times New Roman" w:hAnsi="Times New Roman" w:cs="Times New Roman"/>
          <w:lang w:val="es-MX"/>
        </w:rPr>
        <w:t>DOI: https://doi.org/</w:t>
      </w:r>
      <w:r w:rsidR="00C721F2" w:rsidRPr="00D22601">
        <w:rPr>
          <w:rFonts w:ascii="Times New Roman" w:hAnsi="Times New Roman" w:cs="Times New Roman"/>
          <w:lang w:val="es-MX"/>
        </w:rPr>
        <w:t>10.15517/r6ptpz46</w:t>
      </w:r>
    </w:p>
    <w:p w14:paraId="5EAC5F0D" w14:textId="2F61D708" w:rsidR="00296268" w:rsidRPr="00D22601" w:rsidRDefault="00296268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DA27230" w14:textId="77777777" w:rsidR="00296268" w:rsidRPr="00D22601" w:rsidRDefault="00296268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11CB87E" w14:textId="4F764986" w:rsidR="000B5704" w:rsidRPr="00296268" w:rsidRDefault="00AF7E6E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Original texto histórico en el cual</w:t>
      </w:r>
      <w:r w:rsidR="00377C49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su editor,</w:t>
      </w:r>
      <w:r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A647C6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Víctor Hug</w:t>
      </w:r>
      <w:r w:rsidR="000D650C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</w:t>
      </w:r>
      <w:r w:rsidR="00C74704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Acuña Ortega</w:t>
      </w:r>
      <w:r w:rsidR="00A647C6" w:rsidRPr="00296268">
        <w:rPr>
          <w:rFonts w:ascii="Times New Roman" w:hAnsi="Times New Roman" w:cs="Times New Roman"/>
          <w:i/>
          <w:color w:val="000000" w:themeColor="text1"/>
          <w:sz w:val="24"/>
          <w:szCs w:val="24"/>
          <w:lang w:val="es-MX"/>
        </w:rPr>
        <w:t>,</w:t>
      </w:r>
      <w:r w:rsidR="00A647C6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377C49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dedica </w:t>
      </w:r>
      <w:r w:rsidR="00A647C6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una extensa</w:t>
      </w:r>
      <w:r w:rsidR="00377C49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y altamente productiva</w:t>
      </w:r>
      <w:r w:rsidR="00A647C6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introducción</w:t>
      </w:r>
      <w:r w:rsidR="00377C49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a</w:t>
      </w:r>
      <w:r w:rsidR="00A647C6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377C49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una obra</w:t>
      </w:r>
      <w:r w:rsidR="00A647C6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elaborada por testigos </w:t>
      </w:r>
      <w:r w:rsidR="00C74704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directos</w:t>
      </w:r>
      <w:r w:rsidR="00A647C6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de la guerra contra los filibusteros</w:t>
      </w:r>
      <w:r w:rsidR="00377C49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. </w:t>
      </w:r>
      <w:r w:rsidR="00377C49" w:rsidRPr="00296268">
        <w:rPr>
          <w:rFonts w:ascii="Times New Roman" w:hAnsi="Times New Roman" w:cs="Times New Roman"/>
          <w:i/>
          <w:color w:val="000000" w:themeColor="text1"/>
          <w:sz w:val="24"/>
          <w:szCs w:val="24"/>
          <w:lang w:val="es-MX"/>
        </w:rPr>
        <w:t>Para la historia</w:t>
      </w:r>
      <w:r w:rsidR="00377C49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77C49" w:rsidRPr="00296268">
        <w:rPr>
          <w:rFonts w:ascii="Times New Roman" w:hAnsi="Times New Roman" w:cs="Times New Roman"/>
          <w:sz w:val="24"/>
          <w:szCs w:val="24"/>
          <w:lang w:val="es-MX"/>
        </w:rPr>
        <w:t>p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ublicad</w:t>
      </w:r>
      <w:r w:rsidR="001525B3" w:rsidRPr="00296268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05E7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por </w:t>
      </w:r>
      <w:r w:rsidR="00DD4F43" w:rsidRPr="00296268">
        <w:rPr>
          <w:rFonts w:ascii="Times New Roman" w:hAnsi="Times New Roman" w:cs="Times New Roman"/>
          <w:sz w:val="24"/>
          <w:szCs w:val="24"/>
          <w:lang w:val="es-MX"/>
        </w:rPr>
        <w:t>entregas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 w:rsidRPr="00296268">
        <w:rPr>
          <w:rFonts w:ascii="Times New Roman" w:hAnsi="Times New Roman" w:cs="Times New Roman"/>
          <w:i/>
          <w:sz w:val="24"/>
          <w:szCs w:val="24"/>
          <w:lang w:val="es-MX"/>
        </w:rPr>
        <w:t>La Gaceta Oficial</w:t>
      </w:r>
      <w:r w:rsidR="00377C49" w:rsidRPr="00296268">
        <w:rPr>
          <w:rFonts w:ascii="Times New Roman" w:hAnsi="Times New Roman" w:cs="Times New Roman"/>
          <w:i/>
          <w:sz w:val="24"/>
          <w:szCs w:val="24"/>
          <w:lang w:val="es-MX"/>
        </w:rPr>
        <w:t xml:space="preserve">, </w:t>
      </w:r>
      <w:r w:rsidR="00377C49" w:rsidRPr="00296268">
        <w:rPr>
          <w:rFonts w:ascii="Times New Roman" w:hAnsi="Times New Roman" w:cs="Times New Roman"/>
          <w:sz w:val="24"/>
          <w:szCs w:val="24"/>
          <w:lang w:val="es-MX"/>
        </w:rPr>
        <w:t>aunque solo lleva la firma de</w:t>
      </w:r>
      <w:r w:rsidR="00377C49" w:rsidRPr="00296268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Antonino de Barruel</w:t>
      </w:r>
      <w:r w:rsidR="00377C4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cuenta con la coautoría de su padre, Philippe Auguste de Barruel-Beauvert.</w:t>
      </w:r>
      <w:r w:rsidR="00372C8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Fue e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scrit</w:t>
      </w:r>
      <w:r w:rsidR="001525B3" w:rsidRPr="00296268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F40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en 1861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 solicitud del gobierno de </w:t>
      </w:r>
      <w:r w:rsidR="001F40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Costa Rica para responder al arbitraje impuesto por Estados Unidos por supuestos daños causados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 sus ciudadanos </w:t>
      </w:r>
      <w:r w:rsidR="001F40FF" w:rsidRPr="00296268">
        <w:rPr>
          <w:rFonts w:ascii="Times New Roman" w:hAnsi="Times New Roman" w:cs="Times New Roman"/>
          <w:sz w:val="24"/>
          <w:szCs w:val="24"/>
          <w:lang w:val="es-MX"/>
        </w:rPr>
        <w:t>por el ejército de Costa Rica durante la guerra contra William Walker.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Acuña divide </w:t>
      </w:r>
      <w:r w:rsidR="00716321" w:rsidRPr="00296268">
        <w:rPr>
          <w:rFonts w:ascii="Times New Roman" w:hAnsi="Times New Roman" w:cs="Times New Roman"/>
          <w:sz w:val="24"/>
          <w:szCs w:val="24"/>
          <w:lang w:val="es-MX"/>
        </w:rPr>
        <w:t>este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libro en </w:t>
      </w:r>
      <w:r w:rsidR="00EF48C2" w:rsidRPr="00296268">
        <w:rPr>
          <w:rFonts w:ascii="Times New Roman" w:hAnsi="Times New Roman" w:cs="Times New Roman"/>
          <w:sz w:val="24"/>
          <w:szCs w:val="24"/>
          <w:lang w:val="es-MX"/>
        </w:rPr>
        <w:t>cuatro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secciones. </w:t>
      </w:r>
      <w:r w:rsidR="00C213C7" w:rsidRPr="00296268">
        <w:rPr>
          <w:rFonts w:ascii="Times New Roman" w:hAnsi="Times New Roman" w:cs="Times New Roman"/>
          <w:sz w:val="24"/>
          <w:szCs w:val="24"/>
          <w:lang w:val="es-MX"/>
        </w:rPr>
        <w:t>La primera consiste en una introducción dedicada al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análisis histórico del texto</w:t>
      </w:r>
      <w:r w:rsidR="00C213C7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0B5704" w:rsidRPr="00296268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En la segunda sección, </w:t>
      </w:r>
      <w:r w:rsidR="001E352A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el editor</w:t>
      </w:r>
      <w:r w:rsidR="000B5704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generosamente transcribe el texto completo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facilitando </w:t>
      </w:r>
      <w:r w:rsidR="00C213C7" w:rsidRPr="00296268">
        <w:rPr>
          <w:rFonts w:ascii="Times New Roman" w:hAnsi="Times New Roman" w:cs="Times New Roman"/>
          <w:sz w:val="24"/>
          <w:szCs w:val="24"/>
          <w:lang w:val="es-MX"/>
        </w:rPr>
        <w:t>su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acceso a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quienes nos dedicamos al oficio de la historia. </w:t>
      </w:r>
      <w:r w:rsidR="00D909B0" w:rsidRPr="00296268">
        <w:rPr>
          <w:rFonts w:ascii="Times New Roman" w:hAnsi="Times New Roman" w:cs="Times New Roman"/>
          <w:sz w:val="24"/>
          <w:szCs w:val="24"/>
          <w:lang w:val="es-MX"/>
        </w:rPr>
        <w:t>La tercera parte</w:t>
      </w:r>
      <w:r w:rsidR="00EF3999" w:rsidRPr="00296268">
        <w:rPr>
          <w:rFonts w:ascii="Times New Roman" w:hAnsi="Times New Roman" w:cs="Times New Roman"/>
          <w:sz w:val="24"/>
          <w:szCs w:val="24"/>
          <w:lang w:val="es-MX"/>
        </w:rPr>
        <w:t>, el epílogo,</w:t>
      </w:r>
      <w:r w:rsidR="00D909B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está dedicad</w:t>
      </w:r>
      <w:r w:rsidR="00EF3999" w:rsidRPr="00296268">
        <w:rPr>
          <w:rFonts w:ascii="Times New Roman" w:hAnsi="Times New Roman" w:cs="Times New Roman"/>
          <w:sz w:val="24"/>
          <w:szCs w:val="24"/>
          <w:lang w:val="es-MX"/>
        </w:rPr>
        <w:t>o</w:t>
      </w:r>
      <w:r w:rsidR="00D909B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al estudio que realiza Acuña del arbitraje en Washington. 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D909B0" w:rsidRPr="00296268">
        <w:rPr>
          <w:rFonts w:ascii="Times New Roman" w:hAnsi="Times New Roman" w:cs="Times New Roman"/>
          <w:sz w:val="24"/>
          <w:szCs w:val="24"/>
          <w:lang w:val="es-MX"/>
        </w:rPr>
        <w:t>cuarta sección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consiste en anexos</w:t>
      </w:r>
      <w:r w:rsidR="00D909B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compuestos por</w:t>
      </w:r>
      <w:r w:rsidR="00F3240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dos</w:t>
      </w:r>
      <w:r w:rsidR="0083279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textos</w:t>
      </w:r>
      <w:r w:rsidR="00A3526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que versan sobre la última etapa de la guerra</w:t>
      </w:r>
      <w:r w:rsidR="00F32407" w:rsidRPr="00296268">
        <w:rPr>
          <w:rFonts w:ascii="Times New Roman" w:hAnsi="Times New Roman" w:cs="Times New Roman"/>
          <w:sz w:val="24"/>
          <w:szCs w:val="24"/>
          <w:lang w:val="es-MX"/>
        </w:rPr>
        <w:t>, escritos</w:t>
      </w:r>
      <w:r w:rsidR="00A3526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F3240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el primero por </w:t>
      </w:r>
      <w:r w:rsidR="00B92BE7" w:rsidRPr="00296268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A3526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Barruel-Beauvert</w:t>
      </w:r>
      <w:r w:rsidR="00F3240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y el segundo por </w:t>
      </w:r>
      <w:r w:rsidR="00D909B0" w:rsidRPr="00296268">
        <w:rPr>
          <w:rFonts w:ascii="Times New Roman" w:hAnsi="Times New Roman" w:cs="Times New Roman"/>
          <w:sz w:val="24"/>
          <w:szCs w:val="24"/>
          <w:lang w:val="es-MX"/>
        </w:rPr>
        <w:t>su</w:t>
      </w:r>
      <w:r w:rsidR="00F3240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hijo. A</w:t>
      </w:r>
      <w:r w:rsidR="00832798" w:rsidRPr="00296268">
        <w:rPr>
          <w:rFonts w:ascii="Times New Roman" w:hAnsi="Times New Roman" w:cs="Times New Roman"/>
          <w:sz w:val="24"/>
          <w:szCs w:val="24"/>
          <w:lang w:val="es-MX"/>
        </w:rPr>
        <w:t>demá</w:t>
      </w:r>
      <w:r w:rsidR="00FC447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s, </w:t>
      </w:r>
      <w:r w:rsidR="00F3240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esta sección </w:t>
      </w:r>
      <w:r w:rsidR="00FC447B" w:rsidRPr="00296268">
        <w:rPr>
          <w:rFonts w:ascii="Times New Roman" w:hAnsi="Times New Roman" w:cs="Times New Roman"/>
          <w:sz w:val="24"/>
          <w:szCs w:val="24"/>
          <w:lang w:val="es-MX"/>
        </w:rPr>
        <w:t>incluye</w:t>
      </w:r>
      <w:r w:rsidR="0083279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documentación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>en la que se</w:t>
      </w:r>
      <w:r w:rsidR="004F199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establece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el marco de operación de</w:t>
      </w:r>
      <w:r w:rsidR="004F199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comisión mixta que resolver</w:t>
      </w:r>
      <w:r w:rsidR="00FC447B" w:rsidRPr="00296268">
        <w:rPr>
          <w:rFonts w:ascii="Times New Roman" w:hAnsi="Times New Roman" w:cs="Times New Roman"/>
          <w:sz w:val="24"/>
          <w:szCs w:val="24"/>
          <w:lang w:val="es-MX"/>
        </w:rPr>
        <w:t>ía</w:t>
      </w:r>
      <w:r w:rsidR="0033060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los reclamos de los ciudadanos estadounidenses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2309EC5B" w14:textId="77777777" w:rsidR="000005B3" w:rsidRDefault="001242D5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lastRenderedPageBreak/>
        <w:t>Desde los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inicios de la década de 1830 en la bahía de San Juan del Norte o San Juan de Nicaragua, </w:t>
      </w:r>
      <w:r w:rsidR="00B854BF" w:rsidRPr="00296268">
        <w:rPr>
          <w:rFonts w:ascii="Times New Roman" w:hAnsi="Times New Roman" w:cs="Times New Roman"/>
          <w:sz w:val="24"/>
          <w:szCs w:val="24"/>
          <w:lang w:val="es-MX"/>
        </w:rPr>
        <w:t>ubicada en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desembocadura del río San Juan, se asent</w:t>
      </w:r>
      <w:r w:rsidR="00F520B9" w:rsidRPr="00296268">
        <w:rPr>
          <w:rFonts w:ascii="Times New Roman" w:hAnsi="Times New Roman" w:cs="Times New Roman"/>
          <w:sz w:val="24"/>
          <w:szCs w:val="24"/>
          <w:lang w:val="es-MX"/>
        </w:rPr>
        <w:t>ó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una serie de comerciantes de orígenes diversos: ingleses, franceses, españoles, prusianos y norteamericanos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La familia </w:t>
      </w:r>
      <w:r w:rsidR="00B92BE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Barruel estuvo entre ellos. Estos empresarios europeos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coexist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iero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n con comerciantes nicaragüenses y una población flotante de miskitos y “marineros” o bogas que tripulaban las embarcaciones que transportaban objetos de comercio para la exportación </w:t>
      </w:r>
      <w:r w:rsidR="00A41C68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importación al interior del Pacífico nicaragüense.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>l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frágil equilibrio entre las diversas etnias</w:t>
      </w:r>
      <w:r w:rsidR="00A41C6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>se quebró abruptamente cuando,</w:t>
      </w:r>
      <w:r w:rsidR="00B75A9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como se analizará más adelante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>tuvo lugar</w:t>
      </w:r>
      <w:r w:rsidR="001E352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41C68" w:rsidRPr="00296268">
        <w:rPr>
          <w:rFonts w:ascii="Times New Roman" w:hAnsi="Times New Roman" w:cs="Times New Roman"/>
          <w:sz w:val="24"/>
          <w:szCs w:val="24"/>
          <w:lang w:val="es-MX"/>
        </w:rPr>
        <w:t>el bombardeo y la quema de San Juan del Norte</w:t>
      </w:r>
      <w:r w:rsidR="00B75A9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por parte de los estadounidenses, decididos a afirmar su hegemonía en </w:t>
      </w:r>
      <w:r w:rsidR="00A41C68" w:rsidRPr="00296268">
        <w:rPr>
          <w:rFonts w:ascii="Times New Roman" w:hAnsi="Times New Roman" w:cs="Times New Roman"/>
          <w:sz w:val="24"/>
          <w:szCs w:val="24"/>
          <w:lang w:val="es-MX"/>
        </w:rPr>
        <w:t>el Río San Juan</w:t>
      </w:r>
      <w:r w:rsidR="00B510E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A41C6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desafiando</w:t>
      </w:r>
      <w:r w:rsidR="00B75A9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41C68" w:rsidRPr="00296268">
        <w:rPr>
          <w:rFonts w:ascii="Times New Roman" w:hAnsi="Times New Roman" w:cs="Times New Roman"/>
          <w:sz w:val="24"/>
          <w:szCs w:val="24"/>
          <w:lang w:val="es-MX"/>
        </w:rPr>
        <w:t>no solo a los</w:t>
      </w:r>
      <w:r w:rsidR="008B2A6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comerciantes</w:t>
      </w:r>
      <w:r w:rsidR="00C104B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locales y</w:t>
      </w:r>
      <w:r w:rsidR="008B2A6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europeos</w:t>
      </w:r>
      <w:r w:rsidR="00F520B9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8B2A6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41C68" w:rsidRPr="00296268">
        <w:rPr>
          <w:rFonts w:ascii="Times New Roman" w:hAnsi="Times New Roman" w:cs="Times New Roman"/>
          <w:sz w:val="24"/>
          <w:szCs w:val="24"/>
          <w:lang w:val="es-MX"/>
        </w:rPr>
        <w:t>sino también los intereses geoestratégicos de</w:t>
      </w:r>
      <w:r w:rsidR="008B2A6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Gran Bretaña</w:t>
      </w:r>
      <w:r w:rsidR="00B75A9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007BF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="00B92BE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007BFD" w:rsidRPr="00296268">
        <w:rPr>
          <w:rFonts w:ascii="Times New Roman" w:hAnsi="Times New Roman" w:cs="Times New Roman"/>
          <w:sz w:val="24"/>
          <w:szCs w:val="24"/>
          <w:lang w:val="es-MX"/>
        </w:rPr>
        <w:t>Barruel</w:t>
      </w:r>
      <w:r w:rsidR="00B479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fueron víctimas de este violento episodio </w:t>
      </w:r>
      <w:r w:rsidR="00B854BF" w:rsidRPr="00296268">
        <w:rPr>
          <w:rFonts w:ascii="Times New Roman" w:hAnsi="Times New Roman" w:cs="Times New Roman"/>
          <w:sz w:val="24"/>
          <w:szCs w:val="24"/>
          <w:lang w:val="es-MX"/>
        </w:rPr>
        <w:t>y lucharon, aunque sin éxito, en contra de su impunidad.</w:t>
      </w:r>
      <w:r w:rsidR="00B479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Así mismo</w:t>
      </w:r>
      <w:r w:rsidR="00B854B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>ubicados</w:t>
      </w:r>
      <w:r w:rsidR="00B479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854B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en este estratégico espacio </w:t>
      </w:r>
      <w:r w:rsidR="00B479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sufrieron los efectos nefastos </w:t>
      </w:r>
      <w:r w:rsidR="00B854BF" w:rsidRPr="00296268">
        <w:rPr>
          <w:rFonts w:ascii="Times New Roman" w:hAnsi="Times New Roman" w:cs="Times New Roman"/>
          <w:sz w:val="24"/>
          <w:szCs w:val="24"/>
          <w:lang w:val="es-MX"/>
        </w:rPr>
        <w:t>de la invasión filibustera en contubernio con la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poderosa</w:t>
      </w:r>
      <w:r w:rsidR="00B854B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Compañía del Tránsito</w:t>
      </w:r>
      <w:r w:rsidR="00B47933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D69D5AE" w14:textId="77777777" w:rsidR="000005B3" w:rsidRDefault="00D909B0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Al finalizar la guerra del 56 que causó inmensas pérdidas humanas y materiales a Nicaragua y </w:t>
      </w:r>
      <w:r w:rsidR="0039767D" w:rsidRPr="00296268">
        <w:rPr>
          <w:rFonts w:ascii="Times New Roman" w:hAnsi="Times New Roman" w:cs="Times New Roman"/>
          <w:sz w:val="24"/>
          <w:szCs w:val="24"/>
          <w:lang w:val="es-MX"/>
        </w:rPr>
        <w:t>Costa Rica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, irónicamente, Estados Unidos impuso</w:t>
      </w:r>
      <w:r w:rsidR="00FE4D4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>a este último país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un arbitraje</w:t>
      </w:r>
      <w:r w:rsidR="0039767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>por supuestos daños a sus ciudadanos, el cual</w:t>
      </w:r>
      <w:r w:rsidR="0039767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consistía en un instrumento de derecho internacional privado que</w:t>
      </w:r>
      <w:r w:rsidR="004F13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sus representantes legales</w:t>
      </w:r>
      <w:r w:rsidR="0039767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104B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podrían manipular en beneficio </w:t>
      </w:r>
      <w:r w:rsidR="004F13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los supuestos afectados, humillando </w:t>
      </w:r>
      <w:r w:rsidR="00F520B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así </w:t>
      </w:r>
      <w:r w:rsidR="004F1333" w:rsidRPr="00296268">
        <w:rPr>
          <w:rFonts w:ascii="Times New Roman" w:hAnsi="Times New Roman" w:cs="Times New Roman"/>
          <w:sz w:val="24"/>
          <w:szCs w:val="24"/>
          <w:lang w:val="es-MX"/>
        </w:rPr>
        <w:t>a quienes enfrentaron a los invasores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>Acuña dedica un epílogo al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estudio de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dicho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arbitraje</w:t>
      </w:r>
      <w:r w:rsidR="0039767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y a la comisión mixta encargada de 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>llevar adelante el proceso,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mostrando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>en este se evidencia</w:t>
      </w:r>
      <w:r w:rsidR="00C104B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que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prepotencia imperial de Estados Unidos</w:t>
      </w:r>
      <w:r w:rsidR="00C104B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ya estaba presente en Centroamérica a mediados del siglo XIX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>. En efecto, el gran país del norte se proponía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obligar a Costa Rica a hacer inmensas erogaciones por su participación en una guerra causada por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una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invas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>ión gestada y alimentada en su propio seno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>Como se verá adelante, esta estrategia de sumisión simbólica y de explotación económica de un pequeño país centroamericano se suma a</w:t>
      </w:r>
      <w:r w:rsidR="00C104B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dos eventos previos: 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>la participación de representantes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>l gobierno de</w:t>
      </w:r>
      <w:r w:rsidR="000A2A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Estados Unidos 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en el bombardeo y quema de San Juan del Norte y </w:t>
      </w:r>
      <w:r w:rsidR="00B90DDC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 apoyo </w:t>
      </w:r>
      <w:r w:rsidR="00B90DDC" w:rsidRPr="00296268">
        <w:rPr>
          <w:rFonts w:ascii="Times New Roman" w:hAnsi="Times New Roman" w:cs="Times New Roman"/>
          <w:sz w:val="24"/>
          <w:szCs w:val="24"/>
          <w:lang w:val="es-MX"/>
        </w:rPr>
        <w:t>que estos brindaron a los filibusteros en su invasión a Nicaragua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Acuña </w:t>
      </w:r>
      <w:r w:rsidR="009206C1" w:rsidRPr="00296268">
        <w:rPr>
          <w:rFonts w:ascii="Times New Roman" w:hAnsi="Times New Roman" w:cs="Times New Roman"/>
          <w:sz w:val="24"/>
          <w:szCs w:val="24"/>
          <w:lang w:val="es-MX"/>
        </w:rPr>
        <w:t>propone la tesis de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que</w:t>
      </w:r>
      <w:r w:rsidR="009206C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estos eventos</w:t>
      </w:r>
      <w:r w:rsidR="009206C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se encuentra una temprana génesis de lo que será, décadas más tarde,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el imperialismo estadounidense</w:t>
      </w:r>
      <w:r w:rsidR="00B90DDC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 sus diferentes manifestaciones</w:t>
      </w:r>
      <w:r w:rsidR="00B90DDC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>América Latina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7E3601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DC5B3A" w:rsidRPr="00296268">
        <w:rPr>
          <w:rFonts w:ascii="Times New Roman" w:hAnsi="Times New Roman" w:cs="Times New Roman"/>
          <w:sz w:val="24"/>
          <w:szCs w:val="24"/>
          <w:lang w:val="es-MX"/>
        </w:rPr>
        <w:t>l Caribe.</w:t>
      </w:r>
    </w:p>
    <w:p w14:paraId="01F6BE5C" w14:textId="77777777" w:rsidR="000005B3" w:rsidRDefault="00716321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>Los representantes del</w:t>
      </w:r>
      <w:r w:rsidR="00CC7CF6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gobierno de Costa Rica, acertadamente</w:t>
      </w:r>
      <w:r w:rsidR="007C54CC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CC7CF6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solicitaron</w:t>
      </w:r>
      <w:r w:rsidR="00CC7CF6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="007E360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A26B50" w:rsidRPr="00296268">
        <w:rPr>
          <w:rFonts w:ascii="Times New Roman" w:hAnsi="Times New Roman" w:cs="Times New Roman"/>
          <w:sz w:val="24"/>
          <w:szCs w:val="24"/>
          <w:lang w:val="es-MX"/>
        </w:rPr>
        <w:t>Barruel</w:t>
      </w:r>
      <w:r w:rsidR="00C8470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elaboración de un testimonio crucial </w:t>
      </w:r>
      <w:r w:rsidR="00C25DF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para ser presentado como prueba a su favor </w:t>
      </w:r>
      <w:r w:rsidR="00C84702" w:rsidRPr="00296268">
        <w:rPr>
          <w:rFonts w:ascii="Times New Roman" w:hAnsi="Times New Roman" w:cs="Times New Roman"/>
          <w:sz w:val="24"/>
          <w:szCs w:val="24"/>
          <w:lang w:val="es-MX"/>
        </w:rPr>
        <w:t>en el contexto del arbitraje impuesto por Estados Unidos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D909B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Sin duda</w:t>
      </w:r>
      <w:r w:rsidR="007C54CC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para ello valoraron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315DC" w:rsidRPr="00296268">
        <w:rPr>
          <w:rFonts w:ascii="Times New Roman" w:hAnsi="Times New Roman" w:cs="Times New Roman"/>
          <w:sz w:val="24"/>
          <w:szCs w:val="24"/>
          <w:lang w:val="es-MX"/>
        </w:rPr>
        <w:t>el extraordinario dominio</w:t>
      </w:r>
      <w:r w:rsidR="000B410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 la escritura</w:t>
      </w:r>
      <w:r w:rsidR="00A315D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 los </w:t>
      </w:r>
      <w:r w:rsidR="007E360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A315D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Barruel, así como su capacidad de movilizarse en las esferas de la diplomacia internacional. Por supuesto,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7E075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u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nacionalidad</w:t>
      </w:r>
      <w:r w:rsidR="00A315D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ofrecía un valor simbólico significativo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C8470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pues en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el contexto colonial imperante que jerarquizó a la diversidad étnica, los sujetos de las sociedades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noratlánticas </w:t>
      </w:r>
      <w:r w:rsidR="00C84702" w:rsidRPr="00296268">
        <w:rPr>
          <w:rFonts w:ascii="Times New Roman" w:hAnsi="Times New Roman" w:cs="Times New Roman"/>
          <w:sz w:val="24"/>
          <w:szCs w:val="24"/>
          <w:lang w:val="es-MX"/>
        </w:rPr>
        <w:t>ocuparon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el estrato superior</w:t>
      </w:r>
      <w:r w:rsidR="00A315DC" w:rsidRPr="00296268">
        <w:rPr>
          <w:rFonts w:ascii="Times New Roman" w:hAnsi="Times New Roman" w:cs="Times New Roman"/>
          <w:sz w:val="24"/>
          <w:szCs w:val="24"/>
          <w:lang w:val="es-MX"/>
        </w:rPr>
        <w:t>. Sin embargo, su más significativo atributo para llevar adelante esta empresa consistía en</w:t>
      </w:r>
      <w:r w:rsidR="007E34B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su experiencia</w:t>
      </w:r>
      <w:r w:rsidR="00B51DC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vital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>, pues padecieron en carne propia la prepotencia de los empresarios, militares y, en 1856</w:t>
      </w:r>
      <w:r w:rsidR="000B4102" w:rsidRPr="00296268">
        <w:rPr>
          <w:rFonts w:ascii="Times New Roman" w:hAnsi="Times New Roman" w:cs="Times New Roman"/>
          <w:sz w:val="24"/>
          <w:szCs w:val="24"/>
          <w:lang w:val="es-MX"/>
        </w:rPr>
        <w:t>, la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315D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los 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>filibusteros provenientes de Estados Unidos</w:t>
      </w:r>
      <w:r w:rsidR="008E384E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</w:t>
      </w:r>
      <w:r w:rsidR="00A315D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ienes, como lo muestran en su texto, </w:t>
      </w:r>
      <w:r w:rsidR="004D57C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actuaban </w:t>
      </w:r>
      <w:r w:rsidR="008204E4" w:rsidRPr="00296268">
        <w:rPr>
          <w:rFonts w:ascii="Times New Roman" w:hAnsi="Times New Roman" w:cs="Times New Roman"/>
          <w:sz w:val="24"/>
          <w:szCs w:val="24"/>
          <w:lang w:val="es-MX"/>
        </w:rPr>
        <w:t>como</w:t>
      </w:r>
      <w:r w:rsidR="00CC7CF6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amos y señores de estas latitudes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>gracias a un supuesto</w:t>
      </w:r>
      <w:r w:rsidR="00CC7CF6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93272" w:rsidRPr="00296268">
        <w:rPr>
          <w:rFonts w:ascii="Times New Roman" w:hAnsi="Times New Roman" w:cs="Times New Roman"/>
          <w:sz w:val="24"/>
          <w:szCs w:val="24"/>
          <w:lang w:val="es-MX"/>
        </w:rPr>
        <w:t>destino histórico trazado de antemano.</w:t>
      </w:r>
    </w:p>
    <w:p w14:paraId="4CB01B04" w14:textId="77777777" w:rsidR="000005B3" w:rsidRDefault="00211673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Pr="00296268">
        <w:rPr>
          <w:rFonts w:ascii="Times New Roman" w:hAnsi="Times New Roman" w:cs="Times New Roman"/>
          <w:i/>
          <w:sz w:val="24"/>
          <w:szCs w:val="24"/>
          <w:lang w:val="es-MX"/>
        </w:rPr>
        <w:t>Para la historia</w:t>
      </w:r>
      <w:r w:rsidR="000B4102" w:rsidRPr="00296268">
        <w:rPr>
          <w:rFonts w:ascii="Times New Roman" w:hAnsi="Times New Roman" w:cs="Times New Roman"/>
          <w:iCs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el poder imperial de los Estados Unidos empieza a concretarse con la Compañía del Tránsito</w:t>
      </w:r>
      <w:r w:rsidR="000B4102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ocupada del traslado del Mar Caribe al Océano Pacífico y viceversa, </w:t>
      </w:r>
      <w:r w:rsidR="000B410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viajeros estadounidenses que, convocados por la fiebre del oro en California</w:t>
      </w:r>
      <w:r w:rsidR="000B410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se movilizaban de un extremo a otro de su país.</w:t>
      </w:r>
      <w:r w:rsidR="007E221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Ya</w:t>
      </w:r>
      <w:r w:rsidR="007C4B89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 1854</w:t>
      </w:r>
      <w:r w:rsidR="007C4B89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familia </w:t>
      </w:r>
      <w:r w:rsidR="007E360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Barruel había sufrido significativas pérdidas en su negocio por el bombardeo y la quema de San Juan del Norte ordenada por el gobierno de los Estados Unidos</w:t>
      </w:r>
      <w:r w:rsidR="00DE304F" w:rsidRPr="00296268">
        <w:rPr>
          <w:rFonts w:ascii="Times New Roman" w:hAnsi="Times New Roman" w:cs="Times New Roman"/>
          <w:sz w:val="24"/>
          <w:szCs w:val="24"/>
          <w:lang w:val="es-MX"/>
        </w:rPr>
        <w:t>. Este evento fue la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respuesta a</w:t>
      </w:r>
      <w:r w:rsidR="00DE304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1DB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un motín de los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habitantes de la región</w:t>
      </w:r>
      <w:r w:rsidR="00DE304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B2676" w:rsidRPr="00296268">
        <w:rPr>
          <w:rFonts w:ascii="Times New Roman" w:hAnsi="Times New Roman" w:cs="Times New Roman"/>
          <w:sz w:val="24"/>
          <w:szCs w:val="24"/>
          <w:lang w:val="es-MX"/>
        </w:rPr>
        <w:t>en protesta por</w:t>
      </w:r>
      <w:r w:rsidR="001013F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impunidad </w:t>
      </w:r>
      <w:r w:rsidR="00FB2676" w:rsidRPr="00296268">
        <w:rPr>
          <w:rFonts w:ascii="Times New Roman" w:hAnsi="Times New Roman" w:cs="Times New Roman"/>
          <w:sz w:val="24"/>
          <w:szCs w:val="24"/>
          <w:lang w:val="es-MX"/>
        </w:rPr>
        <w:t>concedida por las autoridades a</w:t>
      </w:r>
      <w:r w:rsidR="008C6A27" w:rsidRPr="00296268">
        <w:rPr>
          <w:rFonts w:ascii="Times New Roman" w:hAnsi="Times New Roman" w:cs="Times New Roman"/>
          <w:sz w:val="24"/>
          <w:szCs w:val="24"/>
          <w:lang w:val="es-MX"/>
        </w:rPr>
        <w:t>l capitán de la Compañía del Tránsito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</w:t>
      </w:r>
      <w:r w:rsidR="008C6A27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DE304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asesin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>ó</w:t>
      </w:r>
      <w:r w:rsidR="00DE304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 sangre fría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DE304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bo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DE304F" w:rsidRPr="00296268">
        <w:rPr>
          <w:rFonts w:ascii="Times New Roman" w:hAnsi="Times New Roman" w:cs="Times New Roman"/>
          <w:sz w:val="24"/>
          <w:szCs w:val="24"/>
          <w:lang w:val="es-MX"/>
        </w:rPr>
        <w:t>guero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Antonio Paladino.  E</w:t>
      </w:r>
      <w:r w:rsidR="00CF2E11" w:rsidRPr="00296268">
        <w:rPr>
          <w:rFonts w:ascii="Times New Roman" w:hAnsi="Times New Roman" w:cs="Times New Roman"/>
          <w:sz w:val="24"/>
          <w:szCs w:val="24"/>
          <w:lang w:val="es-MX"/>
        </w:rPr>
        <w:t>l hecho en cuestión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F2E11" w:rsidRPr="00296268">
        <w:rPr>
          <w:rFonts w:ascii="Times New Roman" w:hAnsi="Times New Roman" w:cs="Times New Roman"/>
          <w:sz w:val="24"/>
          <w:szCs w:val="24"/>
          <w:lang w:val="es-MX"/>
        </w:rPr>
        <w:t>había ocurrido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013F5" w:rsidRPr="00296268">
        <w:rPr>
          <w:rFonts w:ascii="Times New Roman" w:hAnsi="Times New Roman" w:cs="Times New Roman"/>
          <w:sz w:val="24"/>
          <w:szCs w:val="24"/>
          <w:lang w:val="es-MX"/>
        </w:rPr>
        <w:t>ante la mirada aprobatoria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 Solon Borland, representante del gobierno de Estados Unidos en Nicaragua.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>De Barruel-Beauvert</w:t>
      </w:r>
      <w:r w:rsidR="00CF2E1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se abocó a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búsqueda de resarcimiento por los daños sufridos por él y por el resto de los comerciantes europeos de San Juan del Norte.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>Con este fin</w:t>
      </w:r>
      <w:r w:rsidR="000271F9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31A5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viajó a Francia y allí obtuvo apoyo del servicio exterior francés. No obstante, Estados Unidos se negó a reconocer el derecho de indemnización de las víctimas.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Los eventos de </w:t>
      </w:r>
      <w:r w:rsidR="000271F9" w:rsidRPr="00296268">
        <w:rPr>
          <w:rFonts w:ascii="Times New Roman" w:hAnsi="Times New Roman" w:cs="Times New Roman"/>
          <w:sz w:val="24"/>
          <w:szCs w:val="24"/>
          <w:lang w:val="es-MX"/>
        </w:rPr>
        <w:t>18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54</w:t>
      </w:r>
      <w:r w:rsidR="000271F9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precisamente</w:t>
      </w:r>
      <w:r w:rsidR="000271F9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están vinculados con el despotismo con que act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>uara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>C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ompañía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del Tránsito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 un contexto de extrema debilidad del gobierno nicaragüense y de los británicos como potencia hegemónica del Caribe. </w:t>
      </w:r>
      <w:r w:rsidR="00997AB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Esta empresa fue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protagonista de los eventos de </w:t>
      </w:r>
      <w:r w:rsidR="006675FD" w:rsidRPr="00296268">
        <w:rPr>
          <w:rFonts w:ascii="Times New Roman" w:hAnsi="Times New Roman" w:cs="Times New Roman"/>
          <w:sz w:val="24"/>
          <w:szCs w:val="24"/>
          <w:lang w:val="es-MX"/>
        </w:rPr>
        <w:t>18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54 y, lejos de permanecer ajena a la invasión de Walker, tuvo en esta un papel central.</w:t>
      </w:r>
    </w:p>
    <w:p w14:paraId="0F1421E3" w14:textId="77777777" w:rsidR="000005B3" w:rsidRDefault="00831A5D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Cuando el gobierno de Costa Rica solicitó la colaboración de los </w:t>
      </w:r>
      <w:r w:rsidR="00C97B6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Barruel para responder a la cuantiosa demanda de Estados Unidos, ambos accedieron gustosamente a la escritura de un detallado informe de las arbitrariedades cometidas por William Walker. </w:t>
      </w:r>
      <w:r w:rsidR="001E6591" w:rsidRPr="00296268">
        <w:rPr>
          <w:rFonts w:ascii="Times New Roman" w:hAnsi="Times New Roman" w:cs="Times New Roman"/>
          <w:sz w:val="24"/>
          <w:szCs w:val="24"/>
          <w:lang w:val="es-MX"/>
        </w:rPr>
        <w:t>Para ello, c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onecta</w:t>
      </w:r>
      <w:r w:rsidR="001E6591" w:rsidRPr="00296268">
        <w:rPr>
          <w:rFonts w:ascii="Times New Roman" w:hAnsi="Times New Roman" w:cs="Times New Roman"/>
          <w:sz w:val="24"/>
          <w:szCs w:val="24"/>
          <w:lang w:val="es-MX"/>
        </w:rPr>
        <w:t>ron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los eventos </w:t>
      </w:r>
      <w:r w:rsidR="0021167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ocurridos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en Nicaragua con las acciones del gobierno y la sociedad civil estadounidense, lo</w:t>
      </w:r>
      <w:r w:rsidR="00EF399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s autores de </w:t>
      </w:r>
      <w:r w:rsidR="00EF3999" w:rsidRPr="00296268">
        <w:rPr>
          <w:rFonts w:ascii="Times New Roman" w:hAnsi="Times New Roman" w:cs="Times New Roman"/>
          <w:i/>
          <w:sz w:val="24"/>
          <w:szCs w:val="24"/>
          <w:lang w:val="es-MX"/>
        </w:rPr>
        <w:t>Para la historia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m</w:t>
      </w:r>
      <w:r w:rsidR="00816CFB" w:rsidRPr="00296268">
        <w:rPr>
          <w:rFonts w:ascii="Times New Roman" w:hAnsi="Times New Roman" w:cs="Times New Roman"/>
          <w:sz w:val="24"/>
          <w:szCs w:val="24"/>
          <w:lang w:val="es-MX"/>
        </w:rPr>
        <w:t>ostraron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 todas luces </w:t>
      </w:r>
      <w:r w:rsidR="0017165C" w:rsidRPr="00296268">
        <w:rPr>
          <w:rFonts w:ascii="Times New Roman" w:hAnsi="Times New Roman" w:cs="Times New Roman"/>
          <w:sz w:val="24"/>
          <w:szCs w:val="24"/>
          <w:lang w:val="es-MX"/>
        </w:rPr>
        <w:t>su responsabilidad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</w:t>
      </w:r>
      <w:r w:rsidR="003809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relación con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los </w:t>
      </w:r>
      <w:r w:rsidR="003741AA" w:rsidRPr="00296268">
        <w:rPr>
          <w:rFonts w:ascii="Times New Roman" w:hAnsi="Times New Roman" w:cs="Times New Roman"/>
          <w:sz w:val="24"/>
          <w:szCs w:val="24"/>
          <w:lang w:val="es-MX"/>
        </w:rPr>
        <w:t>acontecimiento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s de 1854 </w:t>
      </w:r>
      <w:r w:rsidR="003809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y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la invasión de Walker a Nicaragua.</w:t>
      </w:r>
    </w:p>
    <w:p w14:paraId="6264E0F3" w14:textId="77777777" w:rsidR="000005B3" w:rsidRDefault="00436482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Ambos 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>ofrece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una crónica que</w:t>
      </w:r>
      <w:r w:rsidR="008E384E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seguramente</w:t>
      </w:r>
      <w:r w:rsidR="008E384E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nadie más hubiera podido igualar. Además de ser testigos </w:t>
      </w:r>
      <w:r w:rsidR="00C74704" w:rsidRPr="00296268">
        <w:rPr>
          <w:rFonts w:ascii="Times New Roman" w:hAnsi="Times New Roman" w:cs="Times New Roman"/>
          <w:sz w:val="24"/>
          <w:szCs w:val="24"/>
          <w:lang w:val="es-MX"/>
        </w:rPr>
        <w:t>directos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B1C94" w:rsidRPr="00296268">
        <w:rPr>
          <w:rFonts w:ascii="Times New Roman" w:hAnsi="Times New Roman" w:cs="Times New Roman"/>
          <w:sz w:val="24"/>
          <w:szCs w:val="24"/>
          <w:lang w:val="es-MX"/>
        </w:rPr>
        <w:t>de dos eventos que consideran expresión de una misma dinámica imperialista</w:t>
      </w:r>
      <w:r w:rsidR="006B1C94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:</w:t>
      </w:r>
      <w:r w:rsidR="001B5955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 la invasión de </w:t>
      </w:r>
      <w:r w:rsidR="000414A2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18</w:t>
      </w:r>
      <w:r w:rsidR="001B5955" w:rsidRPr="00296268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54 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>y la llevada a cabo por Walker,</w:t>
      </w:r>
      <w:r w:rsidR="008204E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como subraya Acuña,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poseían una visión tanto local como cosmopolita de </w:t>
      </w:r>
      <w:r w:rsidR="00211673" w:rsidRPr="00296268">
        <w:rPr>
          <w:rFonts w:ascii="Times New Roman" w:hAnsi="Times New Roman" w:cs="Times New Roman"/>
          <w:sz w:val="24"/>
          <w:szCs w:val="24"/>
          <w:lang w:val="es-MX"/>
        </w:rPr>
        <w:t>esta agitada historia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8204E4" w:rsidRPr="00296268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1B5955" w:rsidRPr="00296268">
        <w:rPr>
          <w:rFonts w:ascii="Times New Roman" w:hAnsi="Times New Roman" w:cs="Times New Roman"/>
          <w:sz w:val="24"/>
          <w:szCs w:val="24"/>
          <w:lang w:val="es-MX"/>
        </w:rPr>
        <w:t>u escritura se desliza de los acontecimientos puntuales a la</w:t>
      </w:r>
      <w:r w:rsidR="00744FE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dimensión global para explorar cómo se delinean las fuerzas colonialistas en el mundo noratlántico.</w:t>
      </w:r>
    </w:p>
    <w:p w14:paraId="567BDFB8" w14:textId="77777777" w:rsidR="000005B3" w:rsidRDefault="00BC1D38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amplia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introducción de Acuña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al texto</w:t>
      </w:r>
      <w:r w:rsidR="002954F9" w:rsidRPr="00296268">
        <w:rPr>
          <w:rFonts w:ascii="Times New Roman" w:hAnsi="Times New Roman" w:cs="Times New Roman"/>
          <w:sz w:val="24"/>
          <w:szCs w:val="24"/>
          <w:lang w:val="es-MX"/>
        </w:rPr>
        <w:t>, quizá sin que él mismo se lo propusiera,</w:t>
      </w:r>
      <w:r w:rsidR="004F0A7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hace explícita</w:t>
      </w:r>
      <w:r w:rsidR="002954F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complejidad metodológica de la investigación histórica</w:t>
      </w:r>
      <w:r w:rsidR="00816CF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orientada</w:t>
      </w:r>
      <w:r w:rsidR="0091315B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95AF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más que</w:t>
      </w:r>
      <w:r w:rsidR="00816CF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</w:t>
      </w:r>
      <w:r w:rsidR="00495AF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explicar, </w:t>
      </w:r>
      <w:r w:rsidR="00816CF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 w:rsidR="00495AFC" w:rsidRPr="00296268">
        <w:rPr>
          <w:rFonts w:ascii="Times New Roman" w:hAnsi="Times New Roman" w:cs="Times New Roman"/>
          <w:sz w:val="24"/>
          <w:szCs w:val="24"/>
          <w:lang w:val="es-MX"/>
        </w:rPr>
        <w:lastRenderedPageBreak/>
        <w:t>comprender</w:t>
      </w:r>
      <w:r w:rsidR="00163F7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una obra clave en</w:t>
      </w:r>
      <w:r w:rsidR="00495AF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63F7B" w:rsidRPr="00296268">
        <w:rPr>
          <w:rFonts w:ascii="Times New Roman" w:hAnsi="Times New Roman" w:cs="Times New Roman"/>
          <w:sz w:val="24"/>
          <w:szCs w:val="24"/>
          <w:lang w:val="es-MX"/>
        </w:rPr>
        <w:t>los procesos constitutivos del pasado</w:t>
      </w:r>
      <w:r w:rsidR="00163F7B" w:rsidRPr="00296268">
        <w:rPr>
          <w:rStyle w:val="Refdenotaalpie"/>
          <w:rFonts w:ascii="Times New Roman" w:hAnsi="Times New Roman" w:cs="Times New Roman"/>
          <w:sz w:val="24"/>
          <w:szCs w:val="24"/>
          <w:lang w:val="es-MX"/>
        </w:rPr>
        <w:footnoteReference w:id="2"/>
      </w:r>
      <w:r w:rsidR="00026935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163F7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954F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B4255" w:rsidRPr="00296268">
        <w:rPr>
          <w:rFonts w:ascii="Times New Roman" w:hAnsi="Times New Roman" w:cs="Times New Roman"/>
          <w:sz w:val="24"/>
          <w:szCs w:val="24"/>
          <w:lang w:val="es-MX"/>
        </w:rPr>
        <w:t>En aras de ubicar históricamente este rico y extenso documento,</w:t>
      </w:r>
      <w:r w:rsidR="00816CF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Acuña</w:t>
      </w:r>
      <w:r w:rsidR="003809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96C3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muestra los pasos que siguió para </w:t>
      </w:r>
      <w:r w:rsidR="0091315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delinear </w:t>
      </w:r>
      <w:r w:rsidR="003809CE" w:rsidRPr="00296268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lugar</w:t>
      </w:r>
      <w:r w:rsidR="003809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desde el cual los </w:t>
      </w:r>
      <w:r w:rsidR="00DC0C0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3809C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Barruel escriben </w:t>
      </w:r>
      <w:r w:rsidR="003809CE" w:rsidRPr="00296268">
        <w:rPr>
          <w:rFonts w:ascii="Times New Roman" w:hAnsi="Times New Roman" w:cs="Times New Roman"/>
          <w:i/>
          <w:sz w:val="24"/>
          <w:szCs w:val="24"/>
          <w:lang w:val="es-MX"/>
        </w:rPr>
        <w:t>Para la historia</w:t>
      </w:r>
      <w:r w:rsidR="007D224C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D224C" w:rsidRPr="00296268">
        <w:rPr>
          <w:rFonts w:ascii="Times New Roman" w:hAnsi="Times New Roman" w:cs="Times New Roman"/>
          <w:sz w:val="24"/>
          <w:szCs w:val="24"/>
          <w:lang w:val="es-MX"/>
        </w:rPr>
        <w:t>C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>onstruye</w:t>
      </w:r>
      <w:r w:rsidR="00D11FE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0B570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 partir de </w:t>
      </w:r>
      <w:r w:rsidR="00FB4255" w:rsidRPr="00296268">
        <w:rPr>
          <w:rFonts w:ascii="Times New Roman" w:hAnsi="Times New Roman" w:cs="Times New Roman"/>
          <w:sz w:val="24"/>
          <w:szCs w:val="24"/>
          <w:lang w:val="es-MX"/>
        </w:rPr>
        <w:t>múltiples fuentes</w:t>
      </w:r>
      <w:r w:rsidR="00D11FE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FB42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E3A34" w:rsidRPr="00296268">
        <w:rPr>
          <w:rFonts w:ascii="Times New Roman" w:hAnsi="Times New Roman" w:cs="Times New Roman"/>
          <w:sz w:val="24"/>
          <w:szCs w:val="24"/>
          <w:lang w:val="es-MX"/>
        </w:rPr>
        <w:t>el contexto histórico en que les correspondió vivir</w:t>
      </w:r>
      <w:r w:rsidR="002365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antes, durante y después de su escritura</w:t>
      </w:r>
      <w:r w:rsidR="007D224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evidenciando que conocer ese periplo vital </w:t>
      </w:r>
      <w:r w:rsidR="0095406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es indispensable para </w:t>
      </w:r>
      <w:r w:rsidR="00F96C34" w:rsidRPr="00296268">
        <w:rPr>
          <w:rFonts w:ascii="Times New Roman" w:hAnsi="Times New Roman" w:cs="Times New Roman"/>
          <w:sz w:val="24"/>
          <w:szCs w:val="24"/>
          <w:lang w:val="es-MX"/>
        </w:rPr>
        <w:t>situar</w:t>
      </w:r>
      <w:r w:rsidR="0095406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dirección de la narración ofrecida y, en particular, las estrategias discursivas que </w:t>
      </w:r>
      <w:r w:rsidR="00D42489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CE712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sta ofrece. </w:t>
      </w:r>
      <w:r w:rsidR="009F236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Por otra parte, su epílogo está dedicado a su investigación sobre el arbitraje en Washington, tema fundamental para ubicar el texto de los </w:t>
      </w:r>
      <w:r w:rsidR="006B35E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9F2364" w:rsidRPr="00296268">
        <w:rPr>
          <w:rFonts w:ascii="Times New Roman" w:hAnsi="Times New Roman" w:cs="Times New Roman"/>
          <w:sz w:val="24"/>
          <w:szCs w:val="24"/>
          <w:lang w:val="es-MX"/>
        </w:rPr>
        <w:t>Barruel en el espacio donde entrará a cumplir su función central: la defensa de Costa Rica.</w:t>
      </w:r>
    </w:p>
    <w:p w14:paraId="015BB673" w14:textId="77777777" w:rsidR="000005B3" w:rsidRDefault="00CE7127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>Acuña confronta e</w:t>
      </w:r>
      <w:r w:rsidR="002365FF" w:rsidRPr="00296268">
        <w:rPr>
          <w:rFonts w:ascii="Times New Roman" w:hAnsi="Times New Roman" w:cs="Times New Roman"/>
          <w:sz w:val="24"/>
          <w:szCs w:val="24"/>
          <w:lang w:val="es-MX"/>
        </w:rPr>
        <w:t>l texto con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los estudios históricos existentes</w:t>
      </w:r>
      <w:r w:rsidR="002365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sobre la guerra contra Walker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D4465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 este ejercicio comparativo muestra</w:t>
      </w:r>
      <w:r w:rsidR="002365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que</w:t>
      </w:r>
      <w:r w:rsidR="00222F4D" w:rsidRPr="00296268">
        <w:rPr>
          <w:rFonts w:ascii="Times New Roman" w:hAnsi="Times New Roman" w:cs="Times New Roman"/>
          <w:sz w:val="24"/>
          <w:szCs w:val="24"/>
          <w:lang w:val="es-MX"/>
        </w:rPr>
        <w:t>, en general, estos</w:t>
      </w:r>
      <w:r w:rsidR="002365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A168B" w:rsidRPr="00296268">
        <w:rPr>
          <w:rFonts w:ascii="Times New Roman" w:hAnsi="Times New Roman" w:cs="Times New Roman"/>
          <w:sz w:val="24"/>
          <w:szCs w:val="24"/>
          <w:lang w:val="es-MX"/>
        </w:rPr>
        <w:t>últimos</w:t>
      </w:r>
      <w:r w:rsidR="002365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ha</w:t>
      </w:r>
      <w:r w:rsidR="007673A4" w:rsidRPr="00296268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2365FF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pasado por alto </w:t>
      </w:r>
      <w:r w:rsidR="007673A4" w:rsidRPr="00296268">
        <w:rPr>
          <w:rFonts w:ascii="Times New Roman" w:hAnsi="Times New Roman" w:cs="Times New Roman"/>
          <w:sz w:val="24"/>
          <w:szCs w:val="24"/>
          <w:lang w:val="es-MX"/>
        </w:rPr>
        <w:t>la conexión</w:t>
      </w:r>
      <w:r w:rsidR="00222F4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entre la aventura filibustera</w:t>
      </w:r>
      <w:r w:rsidR="00CB7542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22F4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el gobierno y la sociedad civil estadounidense, omisión que, si bien no ha sido </w:t>
      </w:r>
      <w:r w:rsidR="00813435" w:rsidRPr="00296268">
        <w:rPr>
          <w:rFonts w:ascii="Times New Roman" w:hAnsi="Times New Roman" w:cs="Times New Roman"/>
          <w:sz w:val="24"/>
          <w:szCs w:val="24"/>
          <w:lang w:val="es-MX"/>
        </w:rPr>
        <w:t>del todo</w:t>
      </w:r>
      <w:r w:rsidR="00222F4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inocente</w:t>
      </w:r>
      <w:r w:rsidR="005D6936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4B6177" w:rsidRPr="00296268">
        <w:rPr>
          <w:rFonts w:ascii="Times New Roman" w:hAnsi="Times New Roman" w:cs="Times New Roman"/>
          <w:sz w:val="24"/>
          <w:szCs w:val="24"/>
          <w:lang w:val="es-MX"/>
        </w:rPr>
        <w:t>también responde al acotamiento de la mirada que impone una historia obstinadamente circunscri</w:t>
      </w:r>
      <w:r w:rsidR="00DF31F0" w:rsidRPr="00296268">
        <w:rPr>
          <w:rFonts w:ascii="Times New Roman" w:hAnsi="Times New Roman" w:cs="Times New Roman"/>
          <w:sz w:val="24"/>
          <w:szCs w:val="24"/>
          <w:lang w:val="es-MX"/>
        </w:rPr>
        <w:t>ta</w:t>
      </w:r>
      <w:r w:rsidR="004B617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F31F0" w:rsidRPr="00296268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4B617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los bordes de la nación.</w:t>
      </w:r>
      <w:r w:rsidR="001013F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Los eventos de 1854 que, en criterio de Acuña, inauguran la violencia expansionista estadounidense en Centroamérica y </w:t>
      </w:r>
      <w:r w:rsidR="00813435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1013F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 Caribe, solo </w:t>
      </w:r>
      <w:r w:rsidR="00813435" w:rsidRPr="00296268">
        <w:rPr>
          <w:rFonts w:ascii="Times New Roman" w:hAnsi="Times New Roman" w:cs="Times New Roman"/>
          <w:sz w:val="24"/>
          <w:szCs w:val="24"/>
          <w:lang w:val="es-MX"/>
        </w:rPr>
        <w:t>de manera excepcional</w:t>
      </w:r>
      <w:r w:rsidR="005C10E6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1013F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aparecen en la historiografía centroamericana</w:t>
      </w:r>
      <w:r w:rsidR="006B35EC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7668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pese a que este </w:t>
      </w:r>
      <w:r w:rsidR="00B32AC9" w:rsidRPr="00296268">
        <w:rPr>
          <w:rFonts w:ascii="Times New Roman" w:hAnsi="Times New Roman" w:cs="Times New Roman"/>
          <w:sz w:val="24"/>
          <w:szCs w:val="24"/>
          <w:lang w:val="es-MX"/>
        </w:rPr>
        <w:t>localizado acontecimiento</w:t>
      </w:r>
      <w:r w:rsidR="0037668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constituyó un pequeño laboratorio </w:t>
      </w:r>
      <w:r w:rsidR="00B32AC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que ofreció sus insumos a </w:t>
      </w:r>
      <w:r w:rsidR="0037668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las violentas agresiones que sufrirían América Central y </w:t>
      </w:r>
      <w:r w:rsidR="00AC3FE3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376687" w:rsidRPr="00296268">
        <w:rPr>
          <w:rFonts w:ascii="Times New Roman" w:hAnsi="Times New Roman" w:cs="Times New Roman"/>
          <w:sz w:val="24"/>
          <w:szCs w:val="24"/>
          <w:lang w:val="es-MX"/>
        </w:rPr>
        <w:t>l Caribe, en especial, a la vuelta del siglo XX.</w:t>
      </w:r>
    </w:p>
    <w:p w14:paraId="6BF76CA8" w14:textId="77777777" w:rsidR="000005B3" w:rsidRDefault="001013F5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>El historiador</w:t>
      </w:r>
      <w:r w:rsidR="0016042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lleva a</w:t>
      </w:r>
      <w:r w:rsidR="00AB32A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B7542" w:rsidRPr="00296268">
        <w:rPr>
          <w:rFonts w:ascii="Times New Roman" w:hAnsi="Times New Roman" w:cs="Times New Roman"/>
          <w:sz w:val="24"/>
          <w:szCs w:val="24"/>
          <w:lang w:val="es-MX"/>
        </w:rPr>
        <w:t>su público lector</w:t>
      </w:r>
      <w:r w:rsidR="00AB32AA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r w:rsidR="00160428" w:rsidRPr="00296268">
        <w:rPr>
          <w:rFonts w:ascii="Times New Roman" w:hAnsi="Times New Roman" w:cs="Times New Roman"/>
          <w:sz w:val="24"/>
          <w:szCs w:val="24"/>
          <w:lang w:val="es-MX"/>
        </w:rPr>
        <w:t>concluir que</w:t>
      </w:r>
      <w:r w:rsidR="00ED7C55" w:rsidRPr="00296268">
        <w:rPr>
          <w:rFonts w:ascii="Times New Roman" w:hAnsi="Times New Roman" w:cs="Times New Roman"/>
          <w:sz w:val="24"/>
          <w:szCs w:val="24"/>
          <w:lang w:val="es-MX"/>
        </w:rPr>
        <w:t>, al despojar</w:t>
      </w:r>
      <w:r w:rsidR="0016042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el estudio de l</w:t>
      </w:r>
      <w:r w:rsidR="00ED7C55" w:rsidRPr="00296268">
        <w:rPr>
          <w:rFonts w:ascii="Times New Roman" w:hAnsi="Times New Roman" w:cs="Times New Roman"/>
          <w:sz w:val="24"/>
          <w:szCs w:val="24"/>
          <w:lang w:val="es-MX"/>
        </w:rPr>
        <w:t>as dinámicas</w:t>
      </w:r>
      <w:r w:rsidR="0016042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sociales de esa dimensión global,</w:t>
      </w:r>
      <w:r w:rsidR="004C000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no solo deja de observarse una parte sustancial </w:t>
      </w:r>
      <w:r w:rsidR="004D203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los procesos </w:t>
      </w:r>
      <w:r w:rsidR="004C000D" w:rsidRPr="00296268">
        <w:rPr>
          <w:rFonts w:ascii="Times New Roman" w:hAnsi="Times New Roman" w:cs="Times New Roman"/>
          <w:sz w:val="24"/>
          <w:szCs w:val="24"/>
          <w:lang w:val="es-MX"/>
        </w:rPr>
        <w:t>históric</w:t>
      </w:r>
      <w:r w:rsidR="004D2038" w:rsidRPr="00296268">
        <w:rPr>
          <w:rFonts w:ascii="Times New Roman" w:hAnsi="Times New Roman" w:cs="Times New Roman"/>
          <w:sz w:val="24"/>
          <w:szCs w:val="24"/>
          <w:lang w:val="es-MX"/>
        </w:rPr>
        <w:t>os</w:t>
      </w:r>
      <w:r w:rsidR="00CA2036" w:rsidRPr="00296268">
        <w:rPr>
          <w:rFonts w:ascii="Times New Roman" w:hAnsi="Times New Roman" w:cs="Times New Roman"/>
          <w:sz w:val="24"/>
          <w:szCs w:val="24"/>
          <w:lang w:val="es-MX"/>
        </w:rPr>
        <w:t>, sino también,</w:t>
      </w:r>
      <w:r w:rsidR="00ED7C5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A2036" w:rsidRPr="00296268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4D2038" w:rsidRPr="00296268">
        <w:rPr>
          <w:rFonts w:ascii="Times New Roman" w:hAnsi="Times New Roman" w:cs="Times New Roman"/>
          <w:sz w:val="24"/>
          <w:szCs w:val="24"/>
          <w:lang w:val="es-MX"/>
        </w:rPr>
        <w:t>l perder los amplios horizontes que sustentan el cambio histórico, se impone</w:t>
      </w:r>
      <w:r w:rsidR="004C000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una visión distorsionada de los eventos explorados.</w:t>
      </w:r>
      <w:r w:rsidR="0016042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2395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Con </w:t>
      </w:r>
      <w:r w:rsidR="00F23950" w:rsidRPr="00296268">
        <w:rPr>
          <w:rFonts w:ascii="Times New Roman" w:hAnsi="Times New Roman" w:cs="Times New Roman"/>
          <w:i/>
          <w:sz w:val="24"/>
          <w:szCs w:val="24"/>
          <w:lang w:val="es-MX"/>
        </w:rPr>
        <w:t>Para la historia</w:t>
      </w:r>
      <w:r w:rsidR="00D7108E" w:rsidRPr="00296268">
        <w:rPr>
          <w:rFonts w:ascii="Times New Roman" w:hAnsi="Times New Roman" w:cs="Times New Roman"/>
          <w:i/>
          <w:sz w:val="24"/>
          <w:szCs w:val="24"/>
          <w:lang w:val="es-MX"/>
        </w:rPr>
        <w:t>,</w:t>
      </w:r>
      <w:r w:rsidR="00F23950" w:rsidRPr="00296268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F23950" w:rsidRPr="00296268">
        <w:rPr>
          <w:rFonts w:ascii="Times New Roman" w:hAnsi="Times New Roman" w:cs="Times New Roman"/>
          <w:sz w:val="24"/>
          <w:szCs w:val="24"/>
          <w:lang w:val="es-MX"/>
        </w:rPr>
        <w:t>Acuña hace evidente tanto las carencias de una historia centrada en límites parroquianos como las ricas potencialidades que ofrece la búsqueda</w:t>
      </w:r>
      <w:r w:rsidR="008F797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AB32AA" w:rsidRPr="00296268">
        <w:rPr>
          <w:rFonts w:ascii="Times New Roman" w:hAnsi="Times New Roman" w:cs="Times New Roman"/>
          <w:sz w:val="24"/>
          <w:szCs w:val="24"/>
          <w:lang w:val="es-MX"/>
        </w:rPr>
        <w:t>según sus palabras,</w:t>
      </w:r>
      <w:r w:rsidR="008F797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 “conexiones y entrecruces de la formación de los Estados y naciones del istmo, así como del sistema imperial estadounidense en esa coyuntura fundacional”</w:t>
      </w:r>
      <w:r w:rsidR="00917187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(Acuña Ortega, 2024, p. 50).</w:t>
      </w:r>
    </w:p>
    <w:p w14:paraId="76388F9B" w14:textId="77777777" w:rsidR="000005B3" w:rsidRDefault="008F7974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>Con anterioridad a esta publicación</w:t>
      </w:r>
      <w:r w:rsidR="00A25F8E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D203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el editor de </w:t>
      </w:r>
      <w:r w:rsidR="004D2038" w:rsidRPr="00296268">
        <w:rPr>
          <w:rFonts w:ascii="Times New Roman" w:hAnsi="Times New Roman" w:cs="Times New Roman"/>
          <w:i/>
          <w:sz w:val="24"/>
          <w:szCs w:val="24"/>
          <w:lang w:val="es-MX"/>
        </w:rPr>
        <w:t xml:space="preserve">Para la historia </w:t>
      </w:r>
      <w:r w:rsidR="00940C46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ya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había afirmado que</w:t>
      </w:r>
      <w:r w:rsidR="004D2038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6444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quienes se ocupan del oficio de la historia,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solo en tiempos recientes han empezado a dimensionar los eventos generados por el filibusterismo</w:t>
      </w:r>
      <w:r w:rsidR="00A25F8E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considerando las interconexiones entre fenómenos que ocurren en espacios geográficos que trascienden </w:t>
      </w:r>
      <w:r w:rsidR="003732E1" w:rsidRPr="00296268">
        <w:rPr>
          <w:rFonts w:ascii="Times New Roman" w:hAnsi="Times New Roman" w:cs="Times New Roman"/>
          <w:sz w:val="24"/>
          <w:szCs w:val="24"/>
          <w:lang w:val="es-MX"/>
        </w:rPr>
        <w:t>el teatro de operaciones</w:t>
      </w:r>
      <w:r w:rsidRPr="00296268">
        <w:rPr>
          <w:rStyle w:val="Refdenotaalpie"/>
          <w:rFonts w:ascii="Times New Roman" w:hAnsi="Times New Roman" w:cs="Times New Roman"/>
          <w:sz w:val="24"/>
          <w:szCs w:val="24"/>
          <w:lang w:val="es-MX"/>
        </w:rPr>
        <w:footnoteReference w:id="3"/>
      </w:r>
      <w:r w:rsidR="001649CB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4D203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El descubrimiento del texto de los </w:t>
      </w:r>
      <w:r w:rsidR="00CB754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lastRenderedPageBreak/>
        <w:t>Barruel no podía dejar de impresionar profundamente a Acuña. Escrito en 1861</w:t>
      </w:r>
      <w:r w:rsidR="002B7A32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ofrece una magistral lección sobre la historia global</w:t>
      </w:r>
      <w:r w:rsidR="003732E1" w:rsidRPr="00296268">
        <w:rPr>
          <w:rFonts w:ascii="Times New Roman" w:hAnsi="Times New Roman" w:cs="Times New Roman"/>
          <w:sz w:val="24"/>
          <w:szCs w:val="24"/>
          <w:lang w:val="es-MX"/>
        </w:rPr>
        <w:t>, ausente en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historiografía desarrollada en el siglo </w:t>
      </w:r>
      <w:r w:rsidR="003732E1" w:rsidRPr="00296268">
        <w:rPr>
          <w:rFonts w:ascii="Times New Roman" w:hAnsi="Times New Roman" w:cs="Times New Roman"/>
          <w:sz w:val="24"/>
          <w:szCs w:val="24"/>
          <w:lang w:val="es-MX"/>
        </w:rPr>
        <w:t>XX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. Sin dejar de lado significativos esfuerzos recientes por superar la visión centrada en los límites del </w:t>
      </w:r>
      <w:r w:rsidR="001649CB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stado-nación, esta </w:t>
      </w:r>
      <w:r w:rsidR="00940C46" w:rsidRPr="00296268">
        <w:rPr>
          <w:rFonts w:ascii="Times New Roman" w:hAnsi="Times New Roman" w:cs="Times New Roman"/>
          <w:sz w:val="24"/>
          <w:szCs w:val="24"/>
          <w:lang w:val="es-MX"/>
        </w:rPr>
        <w:t>óptica</w:t>
      </w:r>
      <w:r w:rsidR="00592BF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parroquiana, de estrechas miras,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continúa </w:t>
      </w:r>
      <w:r w:rsidR="00414DD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aún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presente en la narrativa histórica</w:t>
      </w:r>
      <w:r w:rsidR="00592BF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del país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F18FB55" w14:textId="77777777" w:rsidR="000005B3" w:rsidRDefault="00E321DE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Por </w:t>
      </w:r>
      <w:r w:rsidR="000F5A75" w:rsidRPr="00296268">
        <w:rPr>
          <w:rFonts w:ascii="Times New Roman" w:hAnsi="Times New Roman" w:cs="Times New Roman"/>
          <w:sz w:val="24"/>
          <w:szCs w:val="24"/>
          <w:lang w:val="es-MX"/>
        </w:rPr>
        <w:t>otra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parte, 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la exploración </w:t>
      </w:r>
      <w:r w:rsidR="0045570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que realiza Acuña 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este texto conduce a una </w:t>
      </w:r>
      <w:r w:rsidR="0045570E" w:rsidRPr="00296268">
        <w:rPr>
          <w:rFonts w:ascii="Times New Roman" w:hAnsi="Times New Roman" w:cs="Times New Roman"/>
          <w:sz w:val="24"/>
          <w:szCs w:val="24"/>
          <w:lang w:val="es-MX"/>
        </w:rPr>
        <w:t>reflexión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crítica acerca del oficio del historiador. </w:t>
      </w:r>
      <w:r w:rsidR="007739E8" w:rsidRPr="00296268">
        <w:rPr>
          <w:rFonts w:ascii="Times New Roman" w:hAnsi="Times New Roman" w:cs="Times New Roman"/>
          <w:i/>
          <w:sz w:val="24"/>
          <w:szCs w:val="24"/>
          <w:lang w:val="es-MX"/>
        </w:rPr>
        <w:t>Para la historia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fue escrito mucho antes de que existiera la historia como profesión. La frescura de su </w:t>
      </w:r>
      <w:r w:rsidR="00FE6285" w:rsidRPr="00296268">
        <w:rPr>
          <w:rFonts w:ascii="Times New Roman" w:hAnsi="Times New Roman" w:cs="Times New Roman"/>
          <w:sz w:val="24"/>
          <w:szCs w:val="24"/>
          <w:lang w:val="es-MX"/>
        </w:rPr>
        <w:t>narrativa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la capacidad </w:t>
      </w:r>
      <w:r w:rsidR="00971180" w:rsidRPr="00296268">
        <w:rPr>
          <w:rFonts w:ascii="Times New Roman" w:hAnsi="Times New Roman" w:cs="Times New Roman"/>
          <w:sz w:val="24"/>
          <w:szCs w:val="24"/>
          <w:lang w:val="es-MX"/>
        </w:rPr>
        <w:t>con que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ágilmente </w:t>
      </w:r>
      <w:r w:rsidR="00971180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se sitúa 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>en diversos espacios</w:t>
      </w:r>
      <w:r w:rsidR="00FE628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y temporalidades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FE628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739E8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la solvencia </w:t>
      </w:r>
      <w:r w:rsidR="00FE628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intelectual </w:t>
      </w:r>
      <w:r w:rsidR="00747F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que la acompaña, son algunas de las características de </w:t>
      </w:r>
      <w:r w:rsidR="001A5D6E" w:rsidRPr="00296268">
        <w:rPr>
          <w:rFonts w:ascii="Times New Roman" w:hAnsi="Times New Roman" w:cs="Times New Roman"/>
          <w:i/>
          <w:sz w:val="24"/>
          <w:szCs w:val="24"/>
          <w:lang w:val="es-MX"/>
        </w:rPr>
        <w:t>Para la historia</w:t>
      </w:r>
      <w:r w:rsidR="00747F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que, más allá de convocar, a la</w:t>
      </w:r>
      <w:r w:rsidR="001A5D6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visibilización de los fundacionales acontecimientos de </w:t>
      </w:r>
      <w:r w:rsidR="001649CB" w:rsidRPr="00296268">
        <w:rPr>
          <w:rFonts w:ascii="Times New Roman" w:hAnsi="Times New Roman" w:cs="Times New Roman"/>
          <w:sz w:val="24"/>
          <w:szCs w:val="24"/>
          <w:lang w:val="es-MX"/>
        </w:rPr>
        <w:t>18</w:t>
      </w:r>
      <w:r w:rsidR="001A5D6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54 y a la </w:t>
      </w:r>
      <w:r w:rsidR="00747F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revisión de  la lectura de la guerra contra Walker, </w:t>
      </w:r>
      <w:r w:rsidR="003732E1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como señala Acuña, </w:t>
      </w:r>
      <w:r w:rsidR="00747F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también conduce a </w:t>
      </w:r>
      <w:r w:rsidR="001A5D6E" w:rsidRPr="00296268">
        <w:rPr>
          <w:rFonts w:ascii="Times New Roman" w:hAnsi="Times New Roman" w:cs="Times New Roman"/>
          <w:sz w:val="24"/>
          <w:szCs w:val="24"/>
          <w:lang w:val="es-MX"/>
        </w:rPr>
        <w:t>un examen crítico de la dirección tomada por</w:t>
      </w:r>
      <w:r w:rsidR="00EB7A8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profesionalización de la historia, sin duda altamente productiva </w:t>
      </w:r>
      <w:r w:rsidR="007233CF" w:rsidRPr="00296268">
        <w:rPr>
          <w:rFonts w:ascii="Times New Roman" w:hAnsi="Times New Roman" w:cs="Times New Roman"/>
          <w:sz w:val="24"/>
          <w:szCs w:val="24"/>
          <w:lang w:val="es-MX"/>
        </w:rPr>
        <w:t>en la indagación e interpretación del pasado, pero también,</w:t>
      </w:r>
      <w:r w:rsidR="00747F3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233CF" w:rsidRPr="00296268">
        <w:rPr>
          <w:rFonts w:ascii="Times New Roman" w:hAnsi="Times New Roman" w:cs="Times New Roman"/>
          <w:sz w:val="24"/>
          <w:szCs w:val="24"/>
          <w:lang w:val="es-MX"/>
        </w:rPr>
        <w:t>marcada por</w:t>
      </w:r>
      <w:r w:rsidR="0069593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la fuerza de la cultura nacional</w:t>
      </w:r>
      <w:r w:rsidR="00BD5A09" w:rsidRPr="00296268">
        <w:rPr>
          <w:rFonts w:ascii="Times New Roman" w:hAnsi="Times New Roman" w:cs="Times New Roman"/>
          <w:sz w:val="24"/>
          <w:szCs w:val="24"/>
          <w:lang w:val="es-MX"/>
        </w:rPr>
        <w:t>ista</w:t>
      </w:r>
      <w:r w:rsidR="0069593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de la que</w:t>
      </w:r>
      <w:r w:rsidR="001A5D6E" w:rsidRPr="00296268">
        <w:rPr>
          <w:rFonts w:ascii="Times New Roman" w:hAnsi="Times New Roman" w:cs="Times New Roman"/>
          <w:sz w:val="24"/>
          <w:szCs w:val="24"/>
          <w:lang w:val="es-MX"/>
        </w:rPr>
        <w:t>, contradictoriamente</w:t>
      </w:r>
      <w:r w:rsidR="001649CB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69593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no se sustraen </w:t>
      </w:r>
      <w:r w:rsidR="001A5D6E" w:rsidRPr="00296268">
        <w:rPr>
          <w:rFonts w:ascii="Times New Roman" w:hAnsi="Times New Roman" w:cs="Times New Roman"/>
          <w:sz w:val="24"/>
          <w:szCs w:val="24"/>
          <w:lang w:val="es-MX"/>
        </w:rPr>
        <w:t>sus informados</w:t>
      </w:r>
      <w:r w:rsidR="00BD5A0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y críticos</w:t>
      </w:r>
      <w:r w:rsidR="001A5D6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732E1" w:rsidRPr="00296268">
        <w:rPr>
          <w:rFonts w:ascii="Times New Roman" w:hAnsi="Times New Roman" w:cs="Times New Roman"/>
          <w:sz w:val="24"/>
          <w:szCs w:val="24"/>
          <w:lang w:val="es-MX"/>
        </w:rPr>
        <w:t>estudiosos.</w:t>
      </w:r>
    </w:p>
    <w:p w14:paraId="4E36E466" w14:textId="77777777" w:rsidR="000005B3" w:rsidRDefault="00822B14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El análisis de Acuña muestra cómo, en un espacio geográfico de gran importancia para el dominio imperial sobre América Latina y </w:t>
      </w:r>
      <w:r w:rsidR="003617FD"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l Caribe, se perfilan las fuerzas entre los poderosos países noratlánticos. Los </w:t>
      </w:r>
      <w:r w:rsidR="00471FA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Barruel son víctimas de la debilidad de los franceses y británicos frente a una vigorosa potencia que, sin mayores dificultades, se ha posesionado de </w:t>
      </w:r>
      <w:r w:rsidR="003A166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vías neurálgicas ubicadas en Nicaragua. Es en este contexto, asegura Acuña a partir de la lectura de </w:t>
      </w:r>
      <w:r w:rsidR="003A1665" w:rsidRPr="00296268">
        <w:rPr>
          <w:rFonts w:ascii="Times New Roman" w:hAnsi="Times New Roman" w:cs="Times New Roman"/>
          <w:i/>
          <w:sz w:val="24"/>
          <w:szCs w:val="24"/>
          <w:lang w:val="es-MX"/>
        </w:rPr>
        <w:t>Para la historia</w:t>
      </w:r>
      <w:r w:rsidR="003A1665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, que debe ubicarse la invasión de Walker. </w:t>
      </w:r>
      <w:r w:rsidR="00036A6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Entre las conclusiones más significativas </w:t>
      </w:r>
      <w:r w:rsidR="00E13029" w:rsidRPr="00296268">
        <w:rPr>
          <w:rFonts w:ascii="Times New Roman" w:hAnsi="Times New Roman" w:cs="Times New Roman"/>
          <w:sz w:val="24"/>
          <w:szCs w:val="24"/>
          <w:lang w:val="es-MX"/>
        </w:rPr>
        <w:t>a las que</w:t>
      </w:r>
      <w:r w:rsidR="00036A6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732E1" w:rsidRPr="00296268">
        <w:rPr>
          <w:rFonts w:ascii="Times New Roman" w:hAnsi="Times New Roman" w:cs="Times New Roman"/>
          <w:sz w:val="24"/>
          <w:szCs w:val="24"/>
          <w:lang w:val="es-MX"/>
        </w:rPr>
        <w:t>llega el editor de la obra</w:t>
      </w:r>
      <w:r w:rsidR="004925E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E13029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se encuentra la necesidad de descartar la tesis, hasta ahora predominante en la historiografía, de que Walker y su gente fueron una especie de bandidos que actuaron por su cuenta, sin conexión con el gobierno y la sociedad civil de los Estados Unidos. Los </w:t>
      </w:r>
      <w:r w:rsidR="00471FA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E13029" w:rsidRPr="00296268">
        <w:rPr>
          <w:rFonts w:ascii="Times New Roman" w:hAnsi="Times New Roman" w:cs="Times New Roman"/>
          <w:sz w:val="24"/>
          <w:szCs w:val="24"/>
          <w:lang w:val="es-MX"/>
        </w:rPr>
        <w:t>Barruel</w:t>
      </w:r>
      <w:r w:rsidR="0071398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muestran</w:t>
      </w:r>
      <w:r w:rsidR="004925E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1398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una y otra vez, mediante un detallado análisis de los eventos en Centroamérica y en Estados Unidos que</w:t>
      </w:r>
      <w:r w:rsidR="004925ED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1398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tanto el gobierno</w:t>
      </w:r>
      <w:r w:rsidR="00A8093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como la sociedad civil de este </w:t>
      </w:r>
      <w:r w:rsidR="004925ED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último </w:t>
      </w:r>
      <w:r w:rsidR="00A8093B" w:rsidRPr="00296268">
        <w:rPr>
          <w:rFonts w:ascii="Times New Roman" w:hAnsi="Times New Roman" w:cs="Times New Roman"/>
          <w:sz w:val="24"/>
          <w:szCs w:val="24"/>
          <w:lang w:val="es-MX"/>
        </w:rPr>
        <w:t>país</w:t>
      </w:r>
      <w:r w:rsidR="004D2038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713982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8093B" w:rsidRPr="00296268">
        <w:rPr>
          <w:rFonts w:ascii="Times New Roman" w:hAnsi="Times New Roman" w:cs="Times New Roman"/>
          <w:sz w:val="24"/>
          <w:szCs w:val="24"/>
          <w:lang w:val="es-MX"/>
        </w:rPr>
        <w:t>estuvieron involucrados directamente en la invasión d</w:t>
      </w:r>
      <w:r w:rsidR="00EC3BAC" w:rsidRPr="00296268">
        <w:rPr>
          <w:rFonts w:ascii="Times New Roman" w:hAnsi="Times New Roman" w:cs="Times New Roman"/>
          <w:sz w:val="24"/>
          <w:szCs w:val="24"/>
          <w:lang w:val="es-MX"/>
        </w:rPr>
        <w:t>el filibustero</w:t>
      </w:r>
      <w:r w:rsidR="00A8093B" w:rsidRPr="00296268">
        <w:rPr>
          <w:rFonts w:ascii="Times New Roman" w:hAnsi="Times New Roman" w:cs="Times New Roman"/>
          <w:sz w:val="24"/>
          <w:szCs w:val="24"/>
          <w:lang w:val="es-MX"/>
        </w:rPr>
        <w:t>, la cual debe ser considerada como la avanzada de un proyecto imperial</w:t>
      </w:r>
      <w:r w:rsidR="00713982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037FE208" w14:textId="363F2A7F" w:rsidR="0030138B" w:rsidRDefault="00B20831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¿Por qué la historiografía centroamericana ha mantenido la versión que sostiene que </w:t>
      </w:r>
      <w:r w:rsidR="00E14E02" w:rsidRPr="00296268">
        <w:rPr>
          <w:rFonts w:ascii="Times New Roman" w:hAnsi="Times New Roman" w:cs="Times New Roman"/>
          <w:sz w:val="24"/>
          <w:szCs w:val="24"/>
          <w:lang w:val="es-MX"/>
        </w:rPr>
        <w:t>Walker y sus hombres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actuaron con total independencia de Estados Unidos? De acuerdo </w:t>
      </w:r>
      <w:r w:rsidR="007A5E38" w:rsidRPr="00296268">
        <w:rPr>
          <w:rFonts w:ascii="Times New Roman" w:hAnsi="Times New Roman" w:cs="Times New Roman"/>
          <w:sz w:val="24"/>
          <w:szCs w:val="24"/>
          <w:lang w:val="es-MX"/>
        </w:rPr>
        <w:t>con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Acuña, </w:t>
      </w:r>
      <w:r w:rsidR="005A3ECD" w:rsidRPr="00296268">
        <w:rPr>
          <w:rFonts w:ascii="Times New Roman" w:hAnsi="Times New Roman" w:cs="Times New Roman"/>
          <w:sz w:val="24"/>
          <w:szCs w:val="24"/>
          <w:lang w:val="es-MX"/>
        </w:rPr>
        <w:t>p</w:t>
      </w:r>
      <w:r w:rsidR="00477BD4" w:rsidRPr="00296268">
        <w:rPr>
          <w:rFonts w:ascii="Times New Roman" w:hAnsi="Times New Roman" w:cs="Times New Roman"/>
          <w:sz w:val="24"/>
          <w:szCs w:val="24"/>
          <w:lang w:val="es-MX"/>
        </w:rPr>
        <w:t>ara congraciarse con el poderoso país del norte y, podríamos decir, apaciguar las tensiones sociales que acompañan a las luchas antiimperialistas</w:t>
      </w:r>
      <w:r w:rsidR="002B7A32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77BD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convenciendo al mundo subalterno de que Estados Unidos históricamente ha sido un buen amigo de los países centroamericanos. </w:t>
      </w:r>
      <w:r w:rsidR="003B1F73" w:rsidRPr="00296268">
        <w:rPr>
          <w:rFonts w:ascii="Times New Roman" w:hAnsi="Times New Roman" w:cs="Times New Roman"/>
          <w:sz w:val="24"/>
          <w:szCs w:val="24"/>
          <w:lang w:val="es-MX"/>
        </w:rPr>
        <w:t>Esta observación de</w:t>
      </w:r>
      <w:r w:rsidR="00D93B2C" w:rsidRPr="00296268">
        <w:rPr>
          <w:rFonts w:ascii="Times New Roman" w:hAnsi="Times New Roman" w:cs="Times New Roman"/>
          <w:sz w:val="24"/>
          <w:szCs w:val="24"/>
          <w:lang w:val="es-MX"/>
        </w:rPr>
        <w:t>l editor</w:t>
      </w:r>
      <w:r w:rsidR="003B1F7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convoca a realizar una revisión acerca de cómo esta versión de la historia ha sido revisada y corregida por la intelectualidad centroamericana en momentos de auge de las luchas antiimperialistas. Así mismo, en el contexto presente en que Donald Trump amenaza con una nueva invasión a Panamá, </w:t>
      </w:r>
      <w:r w:rsidR="008F7974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8F7974" w:rsidRPr="00296268">
        <w:rPr>
          <w:rFonts w:ascii="Times New Roman" w:hAnsi="Times New Roman" w:cs="Times New Roman"/>
          <w:sz w:val="24"/>
          <w:szCs w:val="24"/>
          <w:lang w:val="es-MX"/>
        </w:rPr>
        <w:lastRenderedPageBreak/>
        <w:t>retorno a</w:t>
      </w:r>
      <w:r w:rsidR="003B1F7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esta historia adquiere relevancia para comprender la euforia imperialista manifiesta</w:t>
      </w:r>
      <w:r w:rsidR="008F7974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B1F7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83A2B" w:rsidRPr="00296268">
        <w:rPr>
          <w:rFonts w:ascii="Times New Roman" w:hAnsi="Times New Roman" w:cs="Times New Roman"/>
          <w:sz w:val="24"/>
          <w:szCs w:val="24"/>
          <w:lang w:val="es-MX"/>
        </w:rPr>
        <w:t>por supuesto</w:t>
      </w:r>
      <w:r w:rsidR="008F7974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983A2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en el gobierno actual</w:t>
      </w:r>
      <w:r w:rsidR="00D93B2C" w:rsidRPr="00296268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983A2B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pero también </w:t>
      </w:r>
      <w:r w:rsidR="003B1F7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="00D4581E" w:rsidRPr="00296268">
        <w:rPr>
          <w:rFonts w:ascii="Times New Roman" w:hAnsi="Times New Roman" w:cs="Times New Roman"/>
          <w:sz w:val="24"/>
          <w:szCs w:val="24"/>
          <w:lang w:val="es-MX"/>
        </w:rPr>
        <w:t>buena</w:t>
      </w:r>
      <w:r w:rsidR="003B1F73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parte de la ciudadanía estadounidense</w:t>
      </w:r>
      <w:r w:rsidR="0065462A" w:rsidRPr="00296268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F00D3ED" w14:textId="77777777" w:rsidR="000005B3" w:rsidRDefault="000005B3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9C3BF73" w14:textId="77777777" w:rsidR="000005B3" w:rsidRPr="00296268" w:rsidRDefault="000005B3" w:rsidP="000005B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9166CC3" w14:textId="4994F5D6" w:rsidR="00026935" w:rsidRPr="00296268" w:rsidRDefault="00026935" w:rsidP="0029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</w:t>
      </w:r>
    </w:p>
    <w:p w14:paraId="462F10ED" w14:textId="77777777" w:rsidR="00C67C1D" w:rsidRDefault="00C67C1D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1D5CE" w14:textId="0905FFB2" w:rsidR="001649CB" w:rsidRPr="00296268" w:rsidRDefault="001649CB" w:rsidP="00C67C1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96268">
        <w:rPr>
          <w:rFonts w:ascii="Times New Roman" w:hAnsi="Times New Roman" w:cs="Times New Roman"/>
          <w:sz w:val="24"/>
          <w:szCs w:val="24"/>
        </w:rPr>
        <w:t>Acuña</w:t>
      </w:r>
      <w:r w:rsidR="002B7A32" w:rsidRPr="00296268">
        <w:rPr>
          <w:rFonts w:ascii="Times New Roman" w:hAnsi="Times New Roman" w:cs="Times New Roman"/>
          <w:sz w:val="24"/>
          <w:szCs w:val="24"/>
        </w:rPr>
        <w:t xml:space="preserve"> Ortega</w:t>
      </w:r>
      <w:r w:rsidRPr="00296268">
        <w:rPr>
          <w:rFonts w:ascii="Times New Roman" w:hAnsi="Times New Roman" w:cs="Times New Roman"/>
          <w:sz w:val="24"/>
          <w:szCs w:val="24"/>
        </w:rPr>
        <w:t xml:space="preserve">, Víctor Hugo (Ed.). (2010). </w:t>
      </w:r>
      <w:r w:rsidRPr="00296268">
        <w:rPr>
          <w:rFonts w:ascii="Times New Roman" w:hAnsi="Times New Roman" w:cs="Times New Roman"/>
          <w:i/>
          <w:sz w:val="24"/>
          <w:szCs w:val="24"/>
        </w:rPr>
        <w:t xml:space="preserve">Filibusterismo y Destino Manifiesto en las Américas. </w:t>
      </w:r>
      <w:r w:rsidRPr="00296268">
        <w:rPr>
          <w:rFonts w:ascii="Times New Roman" w:hAnsi="Times New Roman" w:cs="Times New Roman"/>
          <w:sz w:val="24"/>
          <w:szCs w:val="24"/>
        </w:rPr>
        <w:t>Museo Juan Santamaría.</w:t>
      </w:r>
    </w:p>
    <w:p w14:paraId="6418DA13" w14:textId="28111FA3" w:rsidR="00026935" w:rsidRPr="00296268" w:rsidRDefault="00026935" w:rsidP="00C67C1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Acuña Ortega, Víctor Hugo (Ed.). (2024). </w:t>
      </w:r>
      <w:r w:rsidRPr="00296268">
        <w:rPr>
          <w:rFonts w:ascii="Times New Roman" w:hAnsi="Times New Roman" w:cs="Times New Roman"/>
          <w:i/>
          <w:sz w:val="24"/>
          <w:szCs w:val="24"/>
          <w:lang w:val="es-MX"/>
        </w:rPr>
        <w:t xml:space="preserve">Antonino de Barruel. Para la historia. Un relato de la guerra contra Walker.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C87DFC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ditorial 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>UCR.</w:t>
      </w:r>
    </w:p>
    <w:p w14:paraId="2E751FE7" w14:textId="705D0244" w:rsidR="00026935" w:rsidRPr="00296268" w:rsidRDefault="00026935" w:rsidP="00C67C1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Traverso, Enzo. (2012). </w:t>
      </w:r>
      <w:r w:rsidRPr="00296268">
        <w:rPr>
          <w:rFonts w:ascii="Times New Roman" w:hAnsi="Times New Roman" w:cs="Times New Roman"/>
          <w:i/>
          <w:sz w:val="24"/>
          <w:szCs w:val="24"/>
          <w:lang w:val="es-MX"/>
        </w:rPr>
        <w:t>La historia como campo de batalla</w:t>
      </w:r>
      <w:r w:rsidR="00A25F8E" w:rsidRPr="00296268">
        <w:rPr>
          <w:rFonts w:ascii="Times New Roman" w:hAnsi="Times New Roman" w:cs="Times New Roman"/>
          <w:iCs/>
          <w:sz w:val="24"/>
          <w:szCs w:val="24"/>
          <w:lang w:val="es-MX"/>
        </w:rPr>
        <w:t>.</w:t>
      </w: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Fondo de Cultura Económica.</w:t>
      </w:r>
      <w:r w:rsidR="00A25F8E"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451C44CC" w14:textId="77777777" w:rsidR="00C60BD5" w:rsidRPr="00296268" w:rsidRDefault="008F7974" w:rsidP="0029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9626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sectPr w:rsidR="00C60BD5" w:rsidRPr="00296268" w:rsidSect="008D2E87">
      <w:headerReference w:type="default" r:id="rId10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E9E0" w14:textId="77777777" w:rsidR="00D4798C" w:rsidRDefault="00D4798C" w:rsidP="00DE7CC4">
      <w:pPr>
        <w:spacing w:after="0" w:line="240" w:lineRule="auto"/>
      </w:pPr>
      <w:r>
        <w:separator/>
      </w:r>
    </w:p>
  </w:endnote>
  <w:endnote w:type="continuationSeparator" w:id="0">
    <w:p w14:paraId="00E84861" w14:textId="77777777" w:rsidR="00D4798C" w:rsidRDefault="00D4798C" w:rsidP="00DE7CC4">
      <w:pPr>
        <w:spacing w:after="0" w:line="240" w:lineRule="auto"/>
      </w:pPr>
      <w:r>
        <w:continuationSeparator/>
      </w:r>
    </w:p>
  </w:endnote>
  <w:endnote w:id="1">
    <w:p w14:paraId="0883171B" w14:textId="1E6FB6EA" w:rsidR="00591A97" w:rsidRPr="00591A97" w:rsidRDefault="00296268" w:rsidP="00FC79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1A97">
        <w:rPr>
          <w:rStyle w:val="Refdenotaalfinal"/>
          <w:rFonts w:ascii="Times New Roman" w:hAnsi="Times New Roman" w:cs="Times New Roman"/>
          <w:sz w:val="20"/>
          <w:szCs w:val="20"/>
        </w:rPr>
        <w:endnoteRef/>
      </w:r>
      <w:r w:rsidRPr="00591A97">
        <w:rPr>
          <w:rFonts w:ascii="Times New Roman" w:hAnsi="Times New Roman" w:cs="Times New Roman"/>
          <w:sz w:val="20"/>
          <w:szCs w:val="20"/>
        </w:rPr>
        <w:t xml:space="preserve"> </w:t>
      </w:r>
      <w:r w:rsidR="00591A97" w:rsidRPr="00591A97">
        <w:rPr>
          <w:rFonts w:ascii="Times New Roman" w:hAnsi="Times New Roman" w:cs="Times New Roman"/>
          <w:b/>
          <w:bCs/>
          <w:sz w:val="20"/>
          <w:szCs w:val="20"/>
        </w:rPr>
        <w:t>Nota de autora</w:t>
      </w:r>
    </w:p>
    <w:p w14:paraId="7335C926" w14:textId="4C9EF0A7" w:rsidR="00296268" w:rsidRPr="00591A97" w:rsidRDefault="00296268" w:rsidP="00591A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591A97">
        <w:rPr>
          <w:rFonts w:ascii="Times New Roman" w:hAnsi="Times New Roman" w:cs="Times New Roman"/>
          <w:sz w:val="20"/>
          <w:szCs w:val="20"/>
          <w:lang w:val="es-CR"/>
        </w:rPr>
        <w:t xml:space="preserve">Costarricense. </w:t>
      </w:r>
      <w:r w:rsidRPr="00591A97">
        <w:rPr>
          <w:rFonts w:ascii="Times New Roman" w:hAnsi="Times New Roman" w:cs="Times New Roman"/>
          <w:sz w:val="20"/>
          <w:szCs w:val="20"/>
          <w:lang w:val="es-MX"/>
        </w:rPr>
        <w:t xml:space="preserve">Doctora en Historia por la Universidad de Winscosin, Winsconsin, Estados Unidos. Profesora jubilada de la Universidad Nacional de Costa Rica, Heredia, Costa Rica. Correo electrónico: </w:t>
      </w:r>
      <w:hyperlink r:id="rId1" w:history="1">
        <w:r w:rsidRPr="00591A97">
          <w:rPr>
            <w:rStyle w:val="Hipervnculo"/>
            <w:rFonts w:ascii="Times New Roman" w:hAnsi="Times New Roman" w:cs="Times New Roman"/>
            <w:color w:val="auto"/>
            <w:sz w:val="20"/>
            <w:szCs w:val="20"/>
            <w:u w:val="none"/>
          </w:rPr>
          <w:t>patriciaalvarengavenutolo@gmail.com</w:t>
        </w:r>
      </w:hyperlink>
      <w:r w:rsidRPr="00591A97">
        <w:rPr>
          <w:rFonts w:ascii="Times New Roman" w:hAnsi="Times New Roman" w:cs="Times New Roman"/>
          <w:sz w:val="20"/>
          <w:szCs w:val="20"/>
        </w:rPr>
        <w:t xml:space="preserve"> ORCID: </w:t>
      </w:r>
      <w:hyperlink r:id="rId2" w:history="1">
        <w:r w:rsidRPr="00591A97">
          <w:rPr>
            <w:rStyle w:val="Hipervnculo"/>
            <w:rFonts w:ascii="Times New Roman" w:hAnsi="Times New Roman" w:cs="Times New Roman"/>
            <w:color w:val="auto"/>
            <w:sz w:val="20"/>
            <w:szCs w:val="20"/>
            <w:u w:val="none"/>
          </w:rPr>
          <w:t>https://orcid.org/0000-0002-2484-4748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CAAD" w14:textId="77777777" w:rsidR="00D4798C" w:rsidRDefault="00D4798C" w:rsidP="00DE7CC4">
      <w:pPr>
        <w:spacing w:after="0" w:line="240" w:lineRule="auto"/>
      </w:pPr>
      <w:r>
        <w:separator/>
      </w:r>
    </w:p>
  </w:footnote>
  <w:footnote w:type="continuationSeparator" w:id="0">
    <w:p w14:paraId="2F15F7CD" w14:textId="77777777" w:rsidR="00D4798C" w:rsidRDefault="00D4798C" w:rsidP="00DE7CC4">
      <w:pPr>
        <w:spacing w:after="0" w:line="240" w:lineRule="auto"/>
      </w:pPr>
      <w:r>
        <w:continuationSeparator/>
      </w:r>
    </w:p>
  </w:footnote>
  <w:footnote w:id="1">
    <w:p w14:paraId="0171B354" w14:textId="7B5DD176" w:rsidR="00B130D8" w:rsidRPr="0089182A" w:rsidRDefault="00B130D8" w:rsidP="00C57161">
      <w:pPr>
        <w:pStyle w:val="Textonotapie"/>
        <w:jc w:val="both"/>
        <w:rPr>
          <w:rFonts w:ascii="Times New Roman" w:hAnsi="Times New Roman" w:cs="Times New Roman"/>
        </w:rPr>
      </w:pPr>
      <w:r w:rsidRPr="0089182A">
        <w:rPr>
          <w:rStyle w:val="Refdenotaalpie"/>
          <w:rFonts w:ascii="Times New Roman" w:hAnsi="Times New Roman" w:cs="Times New Roman"/>
        </w:rPr>
        <w:footnoteRef/>
      </w:r>
      <w:r w:rsidRPr="0089182A">
        <w:rPr>
          <w:rFonts w:ascii="Times New Roman" w:hAnsi="Times New Roman" w:cs="Times New Roman"/>
        </w:rPr>
        <w:t xml:space="preserve"> </w:t>
      </w:r>
      <w:r w:rsidR="00C57161" w:rsidRPr="00C57161">
        <w:rPr>
          <w:rFonts w:ascii="Times New Roman" w:hAnsi="Times New Roman" w:cs="Times New Roman"/>
        </w:rPr>
        <w:t>La Academia de Geografía e Historia de Costa Rica otorgó a esta obra el Premio Nacional de Historia Cleto González Víquez, 2024.</w:t>
      </w:r>
    </w:p>
  </w:footnote>
  <w:footnote w:id="2">
    <w:p w14:paraId="366F1A2F" w14:textId="2637C6DA" w:rsidR="00163F7B" w:rsidRPr="00EE7512" w:rsidRDefault="00163F7B" w:rsidP="00EE7512">
      <w:pPr>
        <w:pStyle w:val="Textonotapie"/>
        <w:jc w:val="both"/>
        <w:rPr>
          <w:rFonts w:ascii="Times New Roman" w:hAnsi="Times New Roman" w:cs="Times New Roman"/>
          <w:lang w:val="es-MX"/>
        </w:rPr>
      </w:pPr>
      <w:r w:rsidRPr="00EE7512">
        <w:rPr>
          <w:rStyle w:val="Refdenotaalpie"/>
          <w:rFonts w:ascii="Times New Roman" w:hAnsi="Times New Roman" w:cs="Times New Roman"/>
        </w:rPr>
        <w:footnoteRef/>
      </w:r>
      <w:r w:rsidRPr="00EE7512">
        <w:rPr>
          <w:rFonts w:ascii="Times New Roman" w:hAnsi="Times New Roman" w:cs="Times New Roman"/>
        </w:rPr>
        <w:t xml:space="preserve"> </w:t>
      </w:r>
      <w:r w:rsidRPr="00EE7512">
        <w:rPr>
          <w:rFonts w:ascii="Times New Roman" w:hAnsi="Times New Roman" w:cs="Times New Roman"/>
          <w:lang w:val="es-MX"/>
        </w:rPr>
        <w:t>Enzo Traverso</w:t>
      </w:r>
      <w:r w:rsidR="0061101A">
        <w:rPr>
          <w:rFonts w:ascii="Times New Roman" w:hAnsi="Times New Roman" w:cs="Times New Roman"/>
          <w:lang w:val="es-MX"/>
        </w:rPr>
        <w:t xml:space="preserve"> (2012)</w:t>
      </w:r>
      <w:r w:rsidRPr="00EE7512">
        <w:rPr>
          <w:rFonts w:ascii="Times New Roman" w:hAnsi="Times New Roman" w:cs="Times New Roman"/>
          <w:lang w:val="es-MX"/>
        </w:rPr>
        <w:t xml:space="preserve"> advierte sobre “el peligro de una contextualización histórica que nos permitiría </w:t>
      </w:r>
      <w:r w:rsidRPr="00EE7512">
        <w:rPr>
          <w:rFonts w:ascii="Times New Roman" w:hAnsi="Times New Roman" w:cs="Times New Roman"/>
          <w:i/>
          <w:lang w:val="es-MX"/>
        </w:rPr>
        <w:t>explicar</w:t>
      </w:r>
      <w:r w:rsidRPr="00EE7512">
        <w:rPr>
          <w:rFonts w:ascii="Times New Roman" w:hAnsi="Times New Roman" w:cs="Times New Roman"/>
          <w:lang w:val="es-MX"/>
        </w:rPr>
        <w:t xml:space="preserve"> algunas obras pero no </w:t>
      </w:r>
      <w:r w:rsidRPr="00EE7512">
        <w:rPr>
          <w:rFonts w:ascii="Times New Roman" w:hAnsi="Times New Roman" w:cs="Times New Roman"/>
          <w:i/>
          <w:lang w:val="es-MX"/>
        </w:rPr>
        <w:t xml:space="preserve">comprenderlas” </w:t>
      </w:r>
      <w:r w:rsidR="0061101A">
        <w:rPr>
          <w:rFonts w:ascii="Times New Roman" w:hAnsi="Times New Roman" w:cs="Times New Roman"/>
          <w:lang w:val="es-MX"/>
        </w:rPr>
        <w:t>(</w:t>
      </w:r>
      <w:r w:rsidRPr="00EE7512">
        <w:rPr>
          <w:rFonts w:ascii="Times New Roman" w:hAnsi="Times New Roman" w:cs="Times New Roman"/>
          <w:lang w:val="es-MX"/>
        </w:rPr>
        <w:t>p. 22</w:t>
      </w:r>
      <w:r w:rsidR="0061101A">
        <w:rPr>
          <w:rFonts w:ascii="Times New Roman" w:hAnsi="Times New Roman" w:cs="Times New Roman"/>
          <w:lang w:val="es-MX"/>
        </w:rPr>
        <w:t>)</w:t>
      </w:r>
      <w:r w:rsidRPr="00EE7512">
        <w:rPr>
          <w:rFonts w:ascii="Times New Roman" w:hAnsi="Times New Roman" w:cs="Times New Roman"/>
          <w:lang w:val="es-MX"/>
        </w:rPr>
        <w:t>.</w:t>
      </w:r>
    </w:p>
  </w:footnote>
  <w:footnote w:id="3">
    <w:p w14:paraId="0EDFFE7C" w14:textId="65E10D88" w:rsidR="008F7974" w:rsidRPr="00EE7512" w:rsidRDefault="00C60BD5" w:rsidP="00EE75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EE7512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EE7512">
        <w:rPr>
          <w:rFonts w:ascii="Times New Roman" w:hAnsi="Times New Roman" w:cs="Times New Roman"/>
          <w:sz w:val="20"/>
          <w:szCs w:val="20"/>
        </w:rPr>
        <w:t xml:space="preserve"> </w:t>
      </w:r>
      <w:r w:rsidR="00D7108E" w:rsidRPr="00EE7512">
        <w:rPr>
          <w:rFonts w:ascii="Times New Roman" w:hAnsi="Times New Roman" w:cs="Times New Roman"/>
          <w:sz w:val="20"/>
          <w:szCs w:val="20"/>
        </w:rPr>
        <w:t>“Por</w:t>
      </w:r>
      <w:r w:rsidR="008F7974" w:rsidRPr="00EE7512">
        <w:rPr>
          <w:rFonts w:ascii="Times New Roman" w:hAnsi="Times New Roman" w:cs="Times New Roman"/>
          <w:sz w:val="20"/>
          <w:szCs w:val="20"/>
        </w:rPr>
        <w:t xml:space="preserve"> las limitaciones propias de la óptica nacional de la historia de los países centroamericanos y por los usos políticos que a estos acontecimientos se le ha dado, los trabajos sobre el filibusterismo adolecen de un encuadre global o internacional” </w:t>
      </w:r>
      <w:r w:rsidR="00A25F8E" w:rsidRPr="00EE7512">
        <w:rPr>
          <w:rFonts w:ascii="Times New Roman" w:hAnsi="Times New Roman" w:cs="Times New Roman"/>
          <w:sz w:val="20"/>
          <w:szCs w:val="20"/>
        </w:rPr>
        <w:t>(Acuña</w:t>
      </w:r>
      <w:r w:rsidR="00782261" w:rsidRPr="00EE7512">
        <w:rPr>
          <w:rFonts w:ascii="Times New Roman" w:hAnsi="Times New Roman" w:cs="Times New Roman"/>
          <w:sz w:val="20"/>
          <w:szCs w:val="20"/>
        </w:rPr>
        <w:t xml:space="preserve"> Ortega</w:t>
      </w:r>
      <w:r w:rsidR="00A25F8E" w:rsidRPr="00EE7512">
        <w:rPr>
          <w:rFonts w:ascii="Times New Roman" w:hAnsi="Times New Roman" w:cs="Times New Roman"/>
          <w:sz w:val="20"/>
          <w:szCs w:val="20"/>
        </w:rPr>
        <w:t xml:space="preserve">, </w:t>
      </w:r>
      <w:r w:rsidR="008F7974" w:rsidRPr="00EE7512">
        <w:rPr>
          <w:rFonts w:ascii="Times New Roman" w:hAnsi="Times New Roman" w:cs="Times New Roman"/>
          <w:sz w:val="20"/>
          <w:szCs w:val="20"/>
        </w:rPr>
        <w:t>2010, p. 2</w:t>
      </w:r>
      <w:r w:rsidR="00A25F8E" w:rsidRPr="00EE7512">
        <w:rPr>
          <w:rFonts w:ascii="Times New Roman" w:hAnsi="Times New Roman" w:cs="Times New Roman"/>
          <w:sz w:val="20"/>
          <w:szCs w:val="20"/>
        </w:rPr>
        <w:t>)</w:t>
      </w:r>
      <w:r w:rsidR="008F7974" w:rsidRPr="0030138B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B046" w14:textId="21CB9B2A" w:rsidR="006D246D" w:rsidRPr="006541C6" w:rsidRDefault="006541C6" w:rsidP="006541C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kern w:val="2"/>
        <w:sz w:val="24"/>
        <w:szCs w:val="24"/>
        <w:lang w:val="es-CR"/>
        <w14:ligatures w14:val="standardContextual"/>
      </w:rPr>
    </w:pPr>
    <w:r w:rsidRPr="006541C6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14:ligatures w14:val="standardContextual"/>
      </w:rPr>
      <w:t>Cuadernos Inter.c.a.mbio sobre Centroamérica y el Caribe</w:t>
    </w:r>
    <w:r w:rsidRPr="006541C6">
      <w:rPr>
        <w:rFonts w:ascii="Times New Roman" w:eastAsia="Calibri" w:hAnsi="Times New Roman" w:cs="Times New Roman"/>
        <w:b/>
        <w:color w:val="767171"/>
        <w:kern w:val="2"/>
        <w:sz w:val="18"/>
        <w:szCs w:val="18"/>
        <w14:ligatures w14:val="standardContextual"/>
      </w:rPr>
      <w:t xml:space="preserve">, 2025, Vol. 22, Núm. </w:t>
    </w:r>
    <w:r>
      <w:rPr>
        <w:rFonts w:ascii="Times New Roman" w:eastAsia="Calibri" w:hAnsi="Times New Roman" w:cs="Times New Roman"/>
        <w:b/>
        <w:color w:val="767171"/>
        <w:kern w:val="2"/>
        <w:sz w:val="18"/>
        <w:szCs w:val="18"/>
        <w14:ligatures w14:val="standardContextual"/>
      </w:rPr>
      <w:t>2</w:t>
    </w:r>
    <w:r w:rsidRPr="006541C6">
      <w:rPr>
        <w:rFonts w:ascii="Times New Roman" w:eastAsia="Calibri" w:hAnsi="Times New Roman" w:cs="Times New Roman"/>
        <w:b/>
        <w:color w:val="767171"/>
        <w:kern w:val="2"/>
        <w:sz w:val="18"/>
        <w:szCs w:val="18"/>
        <w14:ligatures w14:val="standardContextual"/>
      </w:rPr>
      <w:t xml:space="preserve">, </w:t>
    </w:r>
    <w:r w:rsidRPr="002F5F3C">
      <w:rPr>
        <w:rFonts w:ascii="Times New Roman" w:eastAsia="Calibri" w:hAnsi="Times New Roman" w:cs="Times New Roman"/>
        <w:b/>
        <w:color w:val="767171"/>
        <w:kern w:val="2"/>
        <w:sz w:val="18"/>
        <w:szCs w:val="18"/>
        <w14:ligatures w14:val="standardContextual"/>
      </w:rPr>
      <w:t>e</w:t>
    </w:r>
    <w:r w:rsidR="002F5F3C">
      <w:rPr>
        <w:rFonts w:ascii="Times New Roman" w:eastAsia="Calibri" w:hAnsi="Times New Roman" w:cs="Times New Roman"/>
        <w:b/>
        <w:color w:val="767171"/>
        <w:kern w:val="2"/>
        <w:sz w:val="18"/>
        <w:szCs w:val="18"/>
        <w14:ligatures w14:val="standardContextual"/>
      </w:rPr>
      <w:t>25927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6E"/>
    <w:rsid w:val="000005B3"/>
    <w:rsid w:val="0000619A"/>
    <w:rsid w:val="00007BFD"/>
    <w:rsid w:val="00013821"/>
    <w:rsid w:val="00014BE0"/>
    <w:rsid w:val="00015983"/>
    <w:rsid w:val="00026935"/>
    <w:rsid w:val="000271F9"/>
    <w:rsid w:val="00032C3F"/>
    <w:rsid w:val="0003396C"/>
    <w:rsid w:val="00034173"/>
    <w:rsid w:val="00036A6C"/>
    <w:rsid w:val="000414A2"/>
    <w:rsid w:val="00051833"/>
    <w:rsid w:val="00067022"/>
    <w:rsid w:val="0006793B"/>
    <w:rsid w:val="000931CF"/>
    <w:rsid w:val="00093272"/>
    <w:rsid w:val="000A2ACE"/>
    <w:rsid w:val="000B4102"/>
    <w:rsid w:val="000B5704"/>
    <w:rsid w:val="000D650C"/>
    <w:rsid w:val="000F5A75"/>
    <w:rsid w:val="000F63E5"/>
    <w:rsid w:val="000F7B4F"/>
    <w:rsid w:val="001013F5"/>
    <w:rsid w:val="00102579"/>
    <w:rsid w:val="0011205E"/>
    <w:rsid w:val="001242D5"/>
    <w:rsid w:val="0013281D"/>
    <w:rsid w:val="001376A1"/>
    <w:rsid w:val="001525B3"/>
    <w:rsid w:val="00152661"/>
    <w:rsid w:val="00160428"/>
    <w:rsid w:val="00163F7B"/>
    <w:rsid w:val="001649CB"/>
    <w:rsid w:val="0017165C"/>
    <w:rsid w:val="001A168B"/>
    <w:rsid w:val="001A5D68"/>
    <w:rsid w:val="001A5D6E"/>
    <w:rsid w:val="001B5955"/>
    <w:rsid w:val="001C2C07"/>
    <w:rsid w:val="001E2478"/>
    <w:rsid w:val="001E352A"/>
    <w:rsid w:val="001E6591"/>
    <w:rsid w:val="001F40FF"/>
    <w:rsid w:val="00211673"/>
    <w:rsid w:val="002118E5"/>
    <w:rsid w:val="00222F4D"/>
    <w:rsid w:val="00223130"/>
    <w:rsid w:val="002365FF"/>
    <w:rsid w:val="0027445E"/>
    <w:rsid w:val="002828D6"/>
    <w:rsid w:val="002954F9"/>
    <w:rsid w:val="00296268"/>
    <w:rsid w:val="002A0707"/>
    <w:rsid w:val="002A2E20"/>
    <w:rsid w:val="002B3802"/>
    <w:rsid w:val="002B7A32"/>
    <w:rsid w:val="002D41DA"/>
    <w:rsid w:val="002E0991"/>
    <w:rsid w:val="002E7208"/>
    <w:rsid w:val="002F5F3C"/>
    <w:rsid w:val="0030138B"/>
    <w:rsid w:val="0030398D"/>
    <w:rsid w:val="00303FD7"/>
    <w:rsid w:val="003105B7"/>
    <w:rsid w:val="0032091F"/>
    <w:rsid w:val="003255A6"/>
    <w:rsid w:val="0033060D"/>
    <w:rsid w:val="0034275B"/>
    <w:rsid w:val="003452A8"/>
    <w:rsid w:val="003617FD"/>
    <w:rsid w:val="0036444E"/>
    <w:rsid w:val="00372C8A"/>
    <w:rsid w:val="003732E1"/>
    <w:rsid w:val="003741AA"/>
    <w:rsid w:val="00376340"/>
    <w:rsid w:val="00376687"/>
    <w:rsid w:val="00377C49"/>
    <w:rsid w:val="003809CE"/>
    <w:rsid w:val="0038696A"/>
    <w:rsid w:val="0039767D"/>
    <w:rsid w:val="003A1665"/>
    <w:rsid w:val="003A4D65"/>
    <w:rsid w:val="003B1F73"/>
    <w:rsid w:val="003B22C7"/>
    <w:rsid w:val="003B2C5B"/>
    <w:rsid w:val="003C2B1E"/>
    <w:rsid w:val="003F2DB8"/>
    <w:rsid w:val="00414712"/>
    <w:rsid w:val="00414DD5"/>
    <w:rsid w:val="00430A81"/>
    <w:rsid w:val="00436482"/>
    <w:rsid w:val="00441DBD"/>
    <w:rsid w:val="0045570E"/>
    <w:rsid w:val="00461A53"/>
    <w:rsid w:val="00471FAC"/>
    <w:rsid w:val="00472CE2"/>
    <w:rsid w:val="00477BD4"/>
    <w:rsid w:val="004925ED"/>
    <w:rsid w:val="00495AFC"/>
    <w:rsid w:val="004B6177"/>
    <w:rsid w:val="004C000D"/>
    <w:rsid w:val="004C6242"/>
    <w:rsid w:val="004D2038"/>
    <w:rsid w:val="004D57C4"/>
    <w:rsid w:val="004E1718"/>
    <w:rsid w:val="004F0A75"/>
    <w:rsid w:val="004F1333"/>
    <w:rsid w:val="004F1995"/>
    <w:rsid w:val="00520831"/>
    <w:rsid w:val="005226B4"/>
    <w:rsid w:val="00523FB9"/>
    <w:rsid w:val="0052717E"/>
    <w:rsid w:val="005355C8"/>
    <w:rsid w:val="00543AD5"/>
    <w:rsid w:val="00555867"/>
    <w:rsid w:val="005643FD"/>
    <w:rsid w:val="0056770C"/>
    <w:rsid w:val="00591A97"/>
    <w:rsid w:val="00592BFD"/>
    <w:rsid w:val="005A3ECD"/>
    <w:rsid w:val="005C10E6"/>
    <w:rsid w:val="005C5086"/>
    <w:rsid w:val="005D6936"/>
    <w:rsid w:val="00601744"/>
    <w:rsid w:val="0061101A"/>
    <w:rsid w:val="00611E47"/>
    <w:rsid w:val="00620E08"/>
    <w:rsid w:val="0063628C"/>
    <w:rsid w:val="00641ED1"/>
    <w:rsid w:val="00646030"/>
    <w:rsid w:val="006541C6"/>
    <w:rsid w:val="0065462A"/>
    <w:rsid w:val="006675FD"/>
    <w:rsid w:val="00695939"/>
    <w:rsid w:val="006A51E4"/>
    <w:rsid w:val="006B0C8A"/>
    <w:rsid w:val="006B1C94"/>
    <w:rsid w:val="006B35EC"/>
    <w:rsid w:val="006D246D"/>
    <w:rsid w:val="006E3A34"/>
    <w:rsid w:val="00713982"/>
    <w:rsid w:val="00716321"/>
    <w:rsid w:val="00721080"/>
    <w:rsid w:val="007233CF"/>
    <w:rsid w:val="00744FE1"/>
    <w:rsid w:val="00747F33"/>
    <w:rsid w:val="007611C4"/>
    <w:rsid w:val="00764E04"/>
    <w:rsid w:val="007673A4"/>
    <w:rsid w:val="007739E8"/>
    <w:rsid w:val="00775D1D"/>
    <w:rsid w:val="00782261"/>
    <w:rsid w:val="0078500E"/>
    <w:rsid w:val="00786B6C"/>
    <w:rsid w:val="007911B9"/>
    <w:rsid w:val="007A3A9D"/>
    <w:rsid w:val="007A5E38"/>
    <w:rsid w:val="007B1280"/>
    <w:rsid w:val="007C4B89"/>
    <w:rsid w:val="007C54CC"/>
    <w:rsid w:val="007D224C"/>
    <w:rsid w:val="007D473D"/>
    <w:rsid w:val="007E0758"/>
    <w:rsid w:val="007E2214"/>
    <w:rsid w:val="007E34BC"/>
    <w:rsid w:val="007E3601"/>
    <w:rsid w:val="007E4663"/>
    <w:rsid w:val="00801200"/>
    <w:rsid w:val="00810B7C"/>
    <w:rsid w:val="00813435"/>
    <w:rsid w:val="00816CFB"/>
    <w:rsid w:val="008204E4"/>
    <w:rsid w:val="00822B14"/>
    <w:rsid w:val="00831A5D"/>
    <w:rsid w:val="0083214E"/>
    <w:rsid w:val="00832798"/>
    <w:rsid w:val="00840F3B"/>
    <w:rsid w:val="00844D8D"/>
    <w:rsid w:val="00847454"/>
    <w:rsid w:val="00870D1B"/>
    <w:rsid w:val="0089182A"/>
    <w:rsid w:val="00897396"/>
    <w:rsid w:val="008A2D91"/>
    <w:rsid w:val="008B2A68"/>
    <w:rsid w:val="008B3E67"/>
    <w:rsid w:val="008C6A27"/>
    <w:rsid w:val="008D2E87"/>
    <w:rsid w:val="008D3BC5"/>
    <w:rsid w:val="008E384E"/>
    <w:rsid w:val="008E6A33"/>
    <w:rsid w:val="008F7974"/>
    <w:rsid w:val="0091315B"/>
    <w:rsid w:val="00917187"/>
    <w:rsid w:val="009206C1"/>
    <w:rsid w:val="009229A3"/>
    <w:rsid w:val="00930F39"/>
    <w:rsid w:val="00935A45"/>
    <w:rsid w:val="00940C46"/>
    <w:rsid w:val="00946796"/>
    <w:rsid w:val="00946B2D"/>
    <w:rsid w:val="0095406A"/>
    <w:rsid w:val="00955365"/>
    <w:rsid w:val="00971180"/>
    <w:rsid w:val="00983A2B"/>
    <w:rsid w:val="00997ABB"/>
    <w:rsid w:val="009D7F06"/>
    <w:rsid w:val="009E24EB"/>
    <w:rsid w:val="009F010A"/>
    <w:rsid w:val="009F2364"/>
    <w:rsid w:val="009F618E"/>
    <w:rsid w:val="00A05E78"/>
    <w:rsid w:val="00A25F8E"/>
    <w:rsid w:val="00A26B50"/>
    <w:rsid w:val="00A27CBA"/>
    <w:rsid w:val="00A315DC"/>
    <w:rsid w:val="00A32668"/>
    <w:rsid w:val="00A3526D"/>
    <w:rsid w:val="00A35D2A"/>
    <w:rsid w:val="00A41C68"/>
    <w:rsid w:val="00A43A76"/>
    <w:rsid w:val="00A63F07"/>
    <w:rsid w:val="00A647C6"/>
    <w:rsid w:val="00A66A04"/>
    <w:rsid w:val="00A71A76"/>
    <w:rsid w:val="00A8093B"/>
    <w:rsid w:val="00A80EAB"/>
    <w:rsid w:val="00A85158"/>
    <w:rsid w:val="00A93067"/>
    <w:rsid w:val="00AA2534"/>
    <w:rsid w:val="00AA7ABA"/>
    <w:rsid w:val="00AB32AA"/>
    <w:rsid w:val="00AC3FE3"/>
    <w:rsid w:val="00AC4CAF"/>
    <w:rsid w:val="00AD7070"/>
    <w:rsid w:val="00AE060A"/>
    <w:rsid w:val="00AF2236"/>
    <w:rsid w:val="00AF7E6E"/>
    <w:rsid w:val="00B130D8"/>
    <w:rsid w:val="00B20831"/>
    <w:rsid w:val="00B32AC9"/>
    <w:rsid w:val="00B37618"/>
    <w:rsid w:val="00B47933"/>
    <w:rsid w:val="00B510ED"/>
    <w:rsid w:val="00B51DC4"/>
    <w:rsid w:val="00B70C97"/>
    <w:rsid w:val="00B75843"/>
    <w:rsid w:val="00B75A95"/>
    <w:rsid w:val="00B84864"/>
    <w:rsid w:val="00B854BF"/>
    <w:rsid w:val="00B90DDC"/>
    <w:rsid w:val="00B92BE7"/>
    <w:rsid w:val="00BB593B"/>
    <w:rsid w:val="00BC1D38"/>
    <w:rsid w:val="00BD5A09"/>
    <w:rsid w:val="00BD6F3F"/>
    <w:rsid w:val="00BE07E7"/>
    <w:rsid w:val="00C104B8"/>
    <w:rsid w:val="00C16D8A"/>
    <w:rsid w:val="00C213C7"/>
    <w:rsid w:val="00C25DF7"/>
    <w:rsid w:val="00C456F0"/>
    <w:rsid w:val="00C57161"/>
    <w:rsid w:val="00C60BD5"/>
    <w:rsid w:val="00C67C1D"/>
    <w:rsid w:val="00C721F2"/>
    <w:rsid w:val="00C74704"/>
    <w:rsid w:val="00C84702"/>
    <w:rsid w:val="00C87DFC"/>
    <w:rsid w:val="00C97B6F"/>
    <w:rsid w:val="00CA2036"/>
    <w:rsid w:val="00CA61A5"/>
    <w:rsid w:val="00CA63D7"/>
    <w:rsid w:val="00CB7542"/>
    <w:rsid w:val="00CC7CF6"/>
    <w:rsid w:val="00CD7362"/>
    <w:rsid w:val="00CE1F97"/>
    <w:rsid w:val="00CE6309"/>
    <w:rsid w:val="00CE6EC4"/>
    <w:rsid w:val="00CE7127"/>
    <w:rsid w:val="00CF2E11"/>
    <w:rsid w:val="00D01452"/>
    <w:rsid w:val="00D04EE6"/>
    <w:rsid w:val="00D04EEA"/>
    <w:rsid w:val="00D053A0"/>
    <w:rsid w:val="00D05DD0"/>
    <w:rsid w:val="00D104E1"/>
    <w:rsid w:val="00D11FED"/>
    <w:rsid w:val="00D22601"/>
    <w:rsid w:val="00D42489"/>
    <w:rsid w:val="00D44654"/>
    <w:rsid w:val="00D4581E"/>
    <w:rsid w:val="00D4798C"/>
    <w:rsid w:val="00D7108E"/>
    <w:rsid w:val="00D727CD"/>
    <w:rsid w:val="00D80874"/>
    <w:rsid w:val="00D909B0"/>
    <w:rsid w:val="00D93B2C"/>
    <w:rsid w:val="00DA6877"/>
    <w:rsid w:val="00DC0C08"/>
    <w:rsid w:val="00DC5B3A"/>
    <w:rsid w:val="00DD4F43"/>
    <w:rsid w:val="00DE304F"/>
    <w:rsid w:val="00DE7CC4"/>
    <w:rsid w:val="00DF31F0"/>
    <w:rsid w:val="00DF382B"/>
    <w:rsid w:val="00E04B01"/>
    <w:rsid w:val="00E07679"/>
    <w:rsid w:val="00E13029"/>
    <w:rsid w:val="00E13DA5"/>
    <w:rsid w:val="00E14E02"/>
    <w:rsid w:val="00E321DE"/>
    <w:rsid w:val="00E4646C"/>
    <w:rsid w:val="00E50F11"/>
    <w:rsid w:val="00E74FFC"/>
    <w:rsid w:val="00E806B1"/>
    <w:rsid w:val="00E86447"/>
    <w:rsid w:val="00E96612"/>
    <w:rsid w:val="00E9681F"/>
    <w:rsid w:val="00EA5CA9"/>
    <w:rsid w:val="00EA73A3"/>
    <w:rsid w:val="00EB7A82"/>
    <w:rsid w:val="00EC3BAC"/>
    <w:rsid w:val="00ED5DD6"/>
    <w:rsid w:val="00ED734F"/>
    <w:rsid w:val="00ED7C55"/>
    <w:rsid w:val="00EE7512"/>
    <w:rsid w:val="00EF3999"/>
    <w:rsid w:val="00EF48C2"/>
    <w:rsid w:val="00EF6628"/>
    <w:rsid w:val="00F23950"/>
    <w:rsid w:val="00F32407"/>
    <w:rsid w:val="00F34922"/>
    <w:rsid w:val="00F40542"/>
    <w:rsid w:val="00F417AC"/>
    <w:rsid w:val="00F473F1"/>
    <w:rsid w:val="00F520B9"/>
    <w:rsid w:val="00F56BE4"/>
    <w:rsid w:val="00F63AFD"/>
    <w:rsid w:val="00F66120"/>
    <w:rsid w:val="00F71385"/>
    <w:rsid w:val="00F801AB"/>
    <w:rsid w:val="00F96C34"/>
    <w:rsid w:val="00FB2676"/>
    <w:rsid w:val="00FB4255"/>
    <w:rsid w:val="00FC447B"/>
    <w:rsid w:val="00FC793F"/>
    <w:rsid w:val="00FE4D42"/>
    <w:rsid w:val="00FE5DB7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B702"/>
  <w15:chartTrackingRefBased/>
  <w15:docId w15:val="{85323965-8F5A-4BC9-A004-AFA3952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E7C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7CC4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DE7CC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D2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46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D2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46D"/>
    <w:rPr>
      <w:lang w:val="es-ES_tradnl"/>
    </w:rPr>
  </w:style>
  <w:style w:type="paragraph" w:styleId="Revisin">
    <w:name w:val="Revision"/>
    <w:hidden/>
    <w:uiPriority w:val="99"/>
    <w:semiHidden/>
    <w:rsid w:val="00F520B9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510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10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10ED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10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10ED"/>
    <w:rPr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A25F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5F8E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62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6268"/>
    <w:rPr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296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triciaalvarengavenutolo@gmail.com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2-2484-4748?lang=es" TargetMode="External"/><Relationship Id="rId1" Type="http://schemas.openxmlformats.org/officeDocument/2006/relationships/hyperlink" Target="mailto:patriciaalvarengavenutol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3FF5-641B-4B1D-9E61-77ABEBA1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2333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Editor técnico Revista Cuadernos Inter.c.a.mbio</cp:lastModifiedBy>
  <cp:revision>2</cp:revision>
  <dcterms:created xsi:type="dcterms:W3CDTF">2025-07-31T16:42:00Z</dcterms:created>
  <dcterms:modified xsi:type="dcterms:W3CDTF">2025-07-31T16:42:00Z</dcterms:modified>
</cp:coreProperties>
</file>