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OLE_LINK1" w:id="0"/>
    <w:p w:rsidR="00000000" w:rsidDel="00000000" w:rsidP="00000000" w:rsidRDefault="00000000" w:rsidRPr="00000000" w14:paraId="00000001">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NEUROCIENCIAS, CULPABILIDAD Y FUNCIONALISMO: LA DIGNIDAD HUMANA COMO LÍMITE AL DETERMINISMO</w:t>
      </w:r>
    </w:p>
    <w:p w:rsidR="00000000" w:rsidDel="00000000" w:rsidP="00000000" w:rsidRDefault="00000000" w:rsidRPr="00000000" w14:paraId="00000002">
      <w:pPr>
        <w:spacing w:line="360" w:lineRule="auto"/>
        <w:jc w:val="right"/>
        <w:rPr>
          <w:rFonts w:ascii="Arial" w:cs="Arial" w:eastAsia="Arial" w:hAnsi="Arial"/>
        </w:rPr>
      </w:pPr>
      <w:r w:rsidDel="00000000" w:rsidR="00000000" w:rsidRPr="00000000">
        <w:rPr>
          <w:rFonts w:ascii="Arial" w:cs="Arial" w:eastAsia="Arial" w:hAnsi="Arial"/>
          <w:i w:val="1"/>
          <w:iCs w:val="1"/>
          <w:rtl w:val="0"/>
        </w:rPr>
        <w:t xml:space="preserve">José Alejandro Piedra Pérez</w:t>
      </w:r>
      <w:r w:rsidDel="00000000" w:rsidR="00000000" w:rsidRPr="00000000">
        <w:rPr>
          <w:rFonts w:ascii="Arial" w:cs="Arial" w:eastAsia="Arial" w:hAnsi="Arial"/>
          <w:vertAlign w:val="superscript"/>
        </w:rPr>
        <w:footnoteReference w:customMarkFollows="0" w:id="0"/>
      </w:r>
      <w:r w:rsidDel="00000000" w:rsidR="00000000" w:rsidRPr="00000000">
        <w:rPr>
          <w:rtl w:val="0"/>
        </w:rPr>
      </w:r>
    </w:p>
    <w:bookmarkEnd w:id="0"/>
    <w:p w:rsidR="00000000" w:rsidDel="00000000" w:rsidP="00000000" w:rsidRDefault="00000000" w:rsidRPr="00000000" w14:paraId="00000003">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Fecha de recepción: 27 de septiembre de 2026</w:t>
      </w:r>
    </w:p>
    <w:p w:rsidR="00000000" w:rsidDel="00000000" w:rsidP="00000000" w:rsidRDefault="00000000" w:rsidRPr="00000000" w14:paraId="00000004">
      <w:pPr>
        <w:spacing w:before="240" w:line="360" w:lineRule="auto"/>
        <w:jc w:val="both"/>
        <w:rPr>
          <w:rFonts w:ascii="Arial" w:cs="Arial" w:eastAsia="Arial" w:hAnsi="Arial"/>
          <w:b w:val="1"/>
          <w:bCs w:val="1"/>
        </w:rPr>
      </w:pPr>
      <w:r w:rsidDel="00000000" w:rsidR="00000000" w:rsidRPr="00000000">
        <w:rPr>
          <w:rFonts w:ascii="Arial" w:cs="Arial" w:eastAsia="Arial" w:hAnsi="Arial"/>
          <w:highlight w:val="white"/>
          <w:rtl w:val="0"/>
        </w:rPr>
        <w:t xml:space="preserve">Fecha de aprobación: 30 de octubre de 2026</w:t>
      </w:r>
      <w:r w:rsidDel="00000000" w:rsidR="00000000" w:rsidRPr="00000000">
        <w:rPr>
          <w:rtl w:val="0"/>
        </w:rPr>
      </w:r>
    </w:p>
    <w:p w:rsidR="00000000" w:rsidDel="00000000" w:rsidP="00000000" w:rsidRDefault="00000000" w:rsidRPr="00000000" w14:paraId="00000005">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RESUMEN: </w:t>
      </w:r>
      <w:r w:rsidDel="00000000" w:rsidR="00000000" w:rsidRPr="00000000">
        <w:rPr>
          <w:rFonts w:ascii="Arial" w:cs="Arial" w:eastAsia="Arial" w:hAnsi="Arial"/>
          <w:rtl w:val="0"/>
        </w:rPr>
        <w:t xml:space="preserve">El presente trabajo aborda la problemática que surge de los estudios desarrollados en el campo de las neurociencias, propiamente el cuestionamiento directo que dicha disciplina realiza en relación con el principio de culpabilidad penal como uno de los pilares básicos del derecho penal liberal, promulgando así un determinismo que aboga por la imposición de medidas de seguridad frente a las penas en aquellas personas que delinquen. Desde esa perspectiva se analizarán las diferentes soluciones que, frente a este fenómeno surgen desde la dogmática penal, para lo cual se estudiarán las posiciones derivadas de las corrientes del funcionalismo moderado y ortodoxo, así como de desde la crítica garantista. A partir de ahí, se establecerá cómo, frente al embate del neurodeterminismo, la dignidad humana se erige como un límite infranqueable ante aquellas voces que ponen en duda el libre albedrío y la capacidad de decisión de la persona dentro del derecho penal.</w:t>
      </w:r>
      <w:r w:rsidDel="00000000" w:rsidR="00000000" w:rsidRPr="00000000">
        <w:rPr>
          <w:rtl w:val="0"/>
        </w:rPr>
      </w:r>
    </w:p>
    <w:p w:rsidR="00000000" w:rsidDel="00000000" w:rsidP="00000000" w:rsidRDefault="00000000" w:rsidRPr="00000000" w14:paraId="00000006">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PALABRAS CLAVE: </w:t>
      </w:r>
      <w:r w:rsidDel="00000000" w:rsidR="00000000" w:rsidRPr="00000000">
        <w:rPr>
          <w:rFonts w:ascii="Arial" w:cs="Arial" w:eastAsia="Arial" w:hAnsi="Arial"/>
          <w:rtl w:val="0"/>
        </w:rPr>
        <w:t xml:space="preserve">neurociencias, determinismo, culpabilidad, funcionalismo, garantismo.</w:t>
      </w:r>
    </w:p>
    <w:p w:rsidR="00000000" w:rsidDel="00000000" w:rsidP="00000000" w:rsidRDefault="00000000" w:rsidRPr="00000000" w14:paraId="00000007">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ABSTRACT:</w:t>
      </w:r>
      <w:r w:rsidDel="00000000" w:rsidR="00000000" w:rsidRPr="00000000">
        <w:rPr>
          <w:rFonts w:ascii="Arial" w:cs="Arial" w:eastAsia="Arial" w:hAnsi="Arial"/>
          <w:rtl w:val="0"/>
        </w:rPr>
        <w:t xml:space="preserve"> This paper examines the challenges arising from developments in the field of neuroscience, specifically the direct questioning that this discipline poses to the principle of criminal culpability, one of the foundational pillars of liberal criminal law. Neuroscientific research advances a deterministic view that favors the imposition of security measures over traditional penalties for individuals who commit offenses. From this perspective, the study analyzes the various solutions proposed within criminal law doctrine, focusing on the positions derived from moderate and orthodox functionalism, as well as from the guarantees‑based critical tradition. Building on this analysis, the paper argues that, in the face of neurodeterminism, human dignity stands as an insurmountable limit against those perspectives that cast doubt on free will and individual decision‑making capacity within criminal law.</w:t>
      </w:r>
    </w:p>
    <w:p w:rsidR="00000000" w:rsidDel="00000000" w:rsidP="00000000" w:rsidRDefault="00000000" w:rsidRPr="00000000" w14:paraId="00000008">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KEYWORDS:</w:t>
      </w:r>
      <w:r w:rsidDel="00000000" w:rsidR="00000000" w:rsidRPr="00000000">
        <w:rPr>
          <w:rFonts w:ascii="Arial" w:cs="Arial" w:eastAsia="Arial" w:hAnsi="Arial"/>
          <w:rtl w:val="0"/>
        </w:rPr>
        <w:t xml:space="preserve"> neuroscience, determinism, culpability, functionalism, guarantism.</w:t>
      </w:r>
    </w:p>
    <w:p w:rsidR="00000000" w:rsidDel="00000000" w:rsidP="00000000" w:rsidRDefault="00000000" w:rsidRPr="00000000" w14:paraId="00000009">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ÍNDICE: </w:t>
      </w:r>
      <w:r w:rsidDel="00000000" w:rsidR="00000000" w:rsidRPr="00000000">
        <w:rPr>
          <w:rFonts w:ascii="Arial" w:cs="Arial" w:eastAsia="Arial" w:hAnsi="Arial"/>
          <w:rtl w:val="0"/>
        </w:rPr>
        <w:t xml:space="preserve">1. Introducción. 2. Punto de partida: Neurociencias, los experimentos de Libet y el libre albedrío. 3. Respuesta de la dogmática penal ante el embate de las neurociencias. 3.1. Enfoque desde el funcionalismo. 3.2. Otras voces frente al determinismo. 4. Conclusiones.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5. Referencias bibliográficas.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INTRODUCCIÓN</w:t>
      </w:r>
    </w:p>
    <w:p w:rsidR="00000000" w:rsidDel="00000000" w:rsidP="00000000" w:rsidRDefault="00000000" w:rsidRPr="00000000" w14:paraId="0000000B">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Los trepidantes avances científicos y tecnológicos propios de la sociedad en la que vivimos han alcanzado todos los ámbitos en la cual se desenvuelve el ser humano, incluyendo el ámbito del Derecho. A ese respecto, los estudios desarrollados en el campo de las neurociencias no han sido la excepción, pues desde finales del siglo pasado han traído consigo un cuestionamiento directo a uno de los aspectos más básicos y esenciales en los que se fundamenta el Derecho Penal liberal como lo es la culpabilidad de la conducta delictiva. Esto se debe a que se ha puesto en entredicho desde el ámbito científico la capacidad de decisión en la persona para motivarse o no en la norma al momento de delinquir, negándose la existencia del libre albedrío. Bajo esa tesitura, parece que las acciones del ser humano quedan reducidas a una mera reacción bioquímica en el cerebro, dejando los aspectos cognitivos y volitivos del ser humano en una mera ilusión.</w:t>
      </w:r>
      <w:r w:rsidDel="00000000" w:rsidR="00000000" w:rsidRPr="00000000">
        <w:rPr>
          <w:rtl w:val="0"/>
        </w:rPr>
      </w:r>
    </w:p>
    <w:p w:rsidR="00000000" w:rsidDel="00000000" w:rsidP="00000000" w:rsidRDefault="00000000" w:rsidRPr="00000000" w14:paraId="0000000C">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En las presentes líneas se abordará dicho problema, iniciando con un breve estudio -a modo de marco teórico- en relación con las neurociencias, su concepto y los estudios cuyos resultados han generado un cisma en la culpabilidad del Derecho Penal Clásico. Por otro lado, se examinarán las concepciones de culpabilidad que desarrolla el funcionalismo penal a efecto de ver si a partir de esta corriente puede obtenerse algún insumo para rebatir y dar respuesta del embate que han de las neurociencias al principio de culpabilidad penal. Además, se abordarán algunas de las soluciones más trascendentes que la dogmática penal contemporánea ha dado frente al determinismo y la negación al libre albedrío, esto conforme a los trabajos realizados por Demetrio Crespo, Hassemer y Feijoo Sánchez. Lo anterior con el propósito de demostrar que, con independencia de los procesos neurológicos que puedan operar en nuestros cerebros antes de ejecutar una acción, el concepto de culpabilidad, la dignidad humana y el principio de proporcionalidad vinculado con la sanción penal, engloban un elemento clave dentro del Derecho Penal cuya extinción está lejos de ser una realidad conforme lo afirman las neurociencias.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PUNTO DE PARTIDA: NEUROCIENCIAS, LOS EXPERIMENTOS DE  LIBET Y EL LIBRE ALBEDRÍO</w:t>
      </w:r>
    </w:p>
    <w:p w:rsidR="00000000" w:rsidDel="00000000" w:rsidP="00000000" w:rsidRDefault="00000000" w:rsidRPr="00000000" w14:paraId="0000000E">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Una primera aproximación conceptual a las neurociencias nos la brinda Sánchez Vilanova (2019), quien al respecto la define como el estudio de las bases biológicas de la cognición humana: “Se aborda el estudio del funcionamiento cerebral desde una perspectiva multidisciplinar, abarcando distintos planos de análisis que, en orden de complejidad ascendente, comprenden los niveles molecular, celular, sistémico, conductual y cognitivo.” (p. 23)</w:t>
      </w:r>
      <w:r w:rsidDel="00000000" w:rsidR="00000000" w:rsidRPr="00000000">
        <w:rPr>
          <w:rFonts w:ascii="Arial" w:cs="Arial" w:eastAsia="Arial" w:hAnsi="Arial"/>
          <w:i w:val="1"/>
          <w:iCs w:val="1"/>
          <w:rtl w:val="0"/>
        </w:rPr>
        <w:t xml:space="preserve"> </w:t>
      </w:r>
      <w:r w:rsidDel="00000000" w:rsidR="00000000" w:rsidRPr="00000000">
        <w:rPr>
          <w:rtl w:val="0"/>
        </w:rPr>
      </w:r>
    </w:p>
    <w:p w:rsidR="00000000" w:rsidDel="00000000" w:rsidP="00000000" w:rsidRDefault="00000000" w:rsidRPr="00000000" w14:paraId="0000000F">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Ahora bien, dentro del ámbito de las neurociencias, conviene examinar los aportes realizados por el neurocientífico Benjamin Libet, quien en la década de los años ochenta del siglo XX, desarrolló una serie de experimentos para determinar si en un acto voluntario tan sencillo como flexionar un dedo, ocurre antes del deseo de hacerlo o bien, corresponde a una activación de la zona del cerebro correspondiente a la corteza motora. Su conclusión al respecto fue que, la voluntad de mover el dedo se da dos décimas de segundos antes del movimiento, mientras que el potencial preparatorio registrado a nivel cortical precede al movimiento en unas cinco décimas de segundos y, por lo tanto precede al deseo consciente de mover el dedo. De esta forma, concluyó que la actividad neuronal antecede al estado consciente y, por ende, a la decisión de ejecutar un movimiento (Palma, 2022).</w:t>
      </w:r>
      <w:r w:rsidDel="00000000" w:rsidR="00000000" w:rsidRPr="00000000">
        <w:rPr>
          <w:rtl w:val="0"/>
        </w:rPr>
      </w:r>
    </w:p>
    <w:p w:rsidR="00000000" w:rsidDel="00000000" w:rsidP="00000000" w:rsidRDefault="00000000" w:rsidRPr="00000000" w14:paraId="00000010">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A partir de los estudios de Libet, se ha indicado por parte de Delgado García (2022) que la neurociencia pasó de estudiar cómo el cerebro genera y regula comportamientos, estados emocionales y actividad mental en seres humanos, a centrarse en aspectos más específicos tales como los procesos mentales conscientes e inconscientes, los fundamentos neurales del libre albedrío, la toma de decisiones y las interacciones sociales.</w:t>
      </w:r>
      <w:r w:rsidDel="00000000" w:rsidR="00000000" w:rsidRPr="00000000">
        <w:rPr>
          <w:rtl w:val="0"/>
        </w:rPr>
      </w:r>
    </w:p>
    <w:p w:rsidR="00000000" w:rsidDel="00000000" w:rsidP="00000000" w:rsidRDefault="00000000" w:rsidRPr="00000000" w14:paraId="00000011">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Con base en lo anterior, la relación temporal entre la actividad cerebral inconsciente y la voluntad consciente de realizar una acción que profesan las neurociencias ha puesto en jaque al Derecho Penal, propiamente en relación con la culpabilidad desde su concepción tradicional, entendida como la exigibilidad de un comportamiento conforme a derecho en donde el sujeto activo tenga capacidad de autodeterminación y decisión motivándose en la norma para no delinquir.</w:t>
      </w:r>
      <w:r w:rsidDel="00000000" w:rsidR="00000000" w:rsidRPr="00000000">
        <w:rPr>
          <w:rtl w:val="0"/>
        </w:rPr>
      </w:r>
    </w:p>
    <w:p w:rsidR="00000000" w:rsidDel="00000000" w:rsidP="00000000" w:rsidRDefault="00000000" w:rsidRPr="00000000" w14:paraId="00000012">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Es a partir de aquí que, surge entonces el problema planteado en este trabajo, pues las neurociencias fustigan la existencia de la libertad y capacidad decisión (libre albedrío), asumiendo una posición determinista en donde, no debería reprochársele a la persona directamente su accionar, amén que el ser humano está determinado en el plano neurológico, lo cual conforme lo señala Pacce (2023) conlleva un desplazamiento de la pena por la aplicación única de medidas de seguridad en aras de corregir dicha situación a quien se le atribuya la comisión de un delito.</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RESPUESTA DE LA DOGMÁTICA PENAL ANTE EL EMBATE DE LAS NEUROCIENCIAS</w:t>
      </w:r>
    </w:p>
    <w:p w:rsidR="00000000" w:rsidDel="00000000" w:rsidP="00000000" w:rsidRDefault="00000000" w:rsidRPr="00000000" w14:paraId="00000014">
      <w:pPr>
        <w:spacing w:line="360" w:lineRule="auto"/>
        <w:ind w:left="720"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3.1. Enfoque desde el funcionalismo</w:t>
      </w:r>
    </w:p>
    <w:p w:rsidR="00000000" w:rsidDel="00000000" w:rsidP="00000000" w:rsidRDefault="00000000" w:rsidRPr="00000000" w14:paraId="00000015">
      <w:pPr>
        <w:spacing w:line="360" w:lineRule="auto"/>
        <w:ind w:firstLine="709"/>
        <w:jc w:val="both"/>
        <w:rPr>
          <w:rFonts w:ascii="Arial" w:cs="Arial" w:eastAsia="Arial" w:hAnsi="Arial"/>
          <w:b w:val="1"/>
          <w:bCs w:val="1"/>
        </w:rPr>
      </w:pPr>
      <w:r w:rsidDel="00000000" w:rsidR="00000000" w:rsidRPr="00000000">
        <w:rPr>
          <w:rFonts w:ascii="Arial" w:cs="Arial" w:eastAsia="Arial" w:hAnsi="Arial"/>
          <w:rtl w:val="0"/>
        </w:rPr>
        <w:t xml:space="preserve">Llegado a este punto del estudio, debe entonces explorarse la respuesta que, frente a este problema ha formulado el funcionalismo penal, así como escudriñar la viabilidad de las soluciones propuestas, esto a partir de las posiciones asumidas por Roxin y Jakobs. A ese respecto, el análisis se articulará a partir de la concepción de culpabilidad, el reconocimiento o no del libre albedrío y los fines de la pena que éstos profesan.</w:t>
      </w:r>
      <w:r w:rsidDel="00000000" w:rsidR="00000000" w:rsidRPr="00000000">
        <w:rPr>
          <w:rtl w:val="0"/>
        </w:rPr>
      </w:r>
    </w:p>
    <w:p w:rsidR="00000000" w:rsidDel="00000000" w:rsidP="00000000" w:rsidRDefault="00000000" w:rsidRPr="00000000" w14:paraId="00000016">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Así, desde el funcionalismo moderado de Roxin (1997), se define la culpabilidad más allá de su concepción clásica, integrándola con las necesidades de prevención. Bajo ese orden de ideas, este autor es crítico de la visión tradicional de culpabilidad basada en el “poder actuar de otro modo” al ser un dogma revestido de una autodeterminación moral y explicando cómo el libre albedrío es científicamente indemostrable. Esto por cuanto, ni la psicología ni las ciencias naturales han probado que un sujeto pudo haber obrado de forma diversa a como lo hizo, pues se parte de una premisa metafísica.</w:t>
      </w:r>
    </w:p>
    <w:p w:rsidR="00000000" w:rsidDel="00000000" w:rsidP="00000000" w:rsidRDefault="00000000" w:rsidRPr="00000000" w14:paraId="00000017">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Desde esa perspectiva, Roxin (1997) acuña el concepto de la asequibilidad normativa para comprender la culpabilidad, la cual ha de ser definida como la capacidad de un sujeto para ser motivado por la norma. De este modo, si el sujeto posee una capacidad general de autocontrol y la norma le era psíquicamente asequible, entonces se estima que es responsable, sin caer en la necesidad de resolver el enigma del libre albedrío. Además, propugna que el sistema jurídico reconoce la dignidad de la persona como sujeto capaz de autoadministrarse, siendo la culpabilidad un límite frente al </w:t>
      </w:r>
      <w:r w:rsidDel="00000000" w:rsidR="00000000" w:rsidRPr="00000000">
        <w:rPr>
          <w:rFonts w:ascii="Arial" w:cs="Arial" w:eastAsia="Arial" w:hAnsi="Arial"/>
          <w:i w:val="1"/>
          <w:iCs w:val="1"/>
          <w:rtl w:val="0"/>
        </w:rPr>
        <w:t xml:space="preserve">ius puniendi </w:t>
      </w:r>
      <w:r w:rsidDel="00000000" w:rsidR="00000000" w:rsidRPr="00000000">
        <w:rPr>
          <w:rFonts w:ascii="Arial" w:cs="Arial" w:eastAsia="Arial" w:hAnsi="Arial"/>
          <w:rtl w:val="0"/>
        </w:rPr>
        <w:t xml:space="preserve">estatal que no puede desbordar los fines de la prevención, sean éstos de carácter general o especial.</w:t>
      </w:r>
    </w:p>
    <w:p w:rsidR="00000000" w:rsidDel="00000000" w:rsidP="00000000" w:rsidRDefault="00000000" w:rsidRPr="00000000" w14:paraId="00000018">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Por su parte, desde el normativismo funcional de Jakobs (1992), la culpabilidad no es un dato empírico, sino el resultado de una imputación de reprobación por una voluntad defectuosa. Para tales efectos, tal autor señala que para cumplir una norma se requiere querer y conocer bajo una distinción fundamental: primero, el defecto cognitivo (no saber), es decir, desconocer la norma, lo cual trae aparejado la temática del error; y por otro lado, el defecto volitivo (no querer), en donde la culpabilidad se entiende como un déficit de fidelidad a la norma, cuya función es estabilizar el sistema jurídico frente a aquellas personas que, no se procuran razones para cumplirla. A partir de ahí, la pena no busca intimidar sino confirmar que la norma sigue vigente, conforme a la prevención general positiva.</w:t>
      </w:r>
    </w:p>
    <w:p w:rsidR="00000000" w:rsidDel="00000000" w:rsidP="00000000" w:rsidRDefault="00000000" w:rsidRPr="00000000" w14:paraId="00000019">
      <w:pPr>
        <w:spacing w:line="360" w:lineRule="auto"/>
        <w:ind w:firstLine="709"/>
        <w:jc w:val="both"/>
        <w:rPr>
          <w:rFonts w:ascii="Arial" w:cs="Arial" w:eastAsia="Arial" w:hAnsi="Arial"/>
          <w:i w:val="1"/>
          <w:iCs w:val="1"/>
        </w:rPr>
      </w:pPr>
      <w:r w:rsidDel="00000000" w:rsidR="00000000" w:rsidRPr="00000000">
        <w:rPr>
          <w:rFonts w:ascii="Arial" w:cs="Arial" w:eastAsia="Arial" w:hAnsi="Arial"/>
          <w:rtl w:val="0"/>
        </w:rPr>
        <w:t xml:space="preserve">Ahora bien, respecto del libre albedrío, Jakobs (1992) lo tilda como una disputa metafísica y un concepto ajeno a la culpabilidad: </w:t>
      </w:r>
      <w:r w:rsidDel="00000000" w:rsidR="00000000" w:rsidRPr="00000000">
        <w:rPr>
          <w:rtl w:val="0"/>
        </w:rPr>
      </w:r>
    </w:p>
    <w:p w:rsidR="00000000" w:rsidDel="00000000" w:rsidP="00000000" w:rsidRDefault="00000000" w:rsidRPr="00000000" w14:paraId="0000001A">
      <w:pPr>
        <w:spacing w:line="360" w:lineRule="auto"/>
        <w:ind w:left="720" w:firstLine="0"/>
        <w:jc w:val="both"/>
        <w:rPr>
          <w:rFonts w:ascii="Arial" w:cs="Arial" w:eastAsia="Arial" w:hAnsi="Arial"/>
          <w:b w:val="1"/>
          <w:bCs w:val="1"/>
        </w:rPr>
      </w:pPr>
      <w:r w:rsidDel="00000000" w:rsidR="00000000" w:rsidRPr="00000000">
        <w:rPr>
          <w:rFonts w:ascii="Arial" w:cs="Arial" w:eastAsia="Arial" w:hAnsi="Arial"/>
          <w:rtl w:val="0"/>
        </w:rPr>
        <w:t xml:space="preserve">Bien es cierto que la culpabilidad está relacionada con la libertad, pero no con la libertad de la voluntad, con el libre albedrío, sino con la libertad de autodeterminarse, esto es de administrar la cabeza y el ámbito de organización propios. (p. 1082)</w:t>
      </w:r>
      <w:r w:rsidDel="00000000" w:rsidR="00000000" w:rsidRPr="00000000">
        <w:rPr>
          <w:rtl w:val="0"/>
        </w:rPr>
      </w:r>
    </w:p>
    <w:p w:rsidR="00000000" w:rsidDel="00000000" w:rsidP="00000000" w:rsidRDefault="00000000" w:rsidRPr="00000000" w14:paraId="0000001B">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Con base en lo expuesto, considero que tanto Roxin como Jakobs, encuentran un punto común para cuestionar los alcances de las neurociencias, al negar ambos que el libre albedrío sea un elemento relevante en la determinación de la culpabilidad en el delito. A partir de ahí, puedo afirmar que el funcionalismo busca rebatir el determinismo relegando el libre albedrío a una mera cuestión metafísica propia del ámbito de la filosofía del Derecho. </w:t>
      </w:r>
    </w:p>
    <w:p w:rsidR="00000000" w:rsidDel="00000000" w:rsidP="00000000" w:rsidRDefault="00000000" w:rsidRPr="00000000" w14:paraId="0000001C">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Además, la asequibilidad normativa de Roxin y el defecto volitivo jakobsiano, tienen un tronco común: reconocen la capacidad de decisión de la persona, sea para motivarse en la norma ante una situación concreta según el funcionalismo moderado; o bien, la posibilidad que tiene el individuo de autocontrolarse conforme al funcionalismo ortodoxo. Lo cual me permite advertir que, más allá de la negación del libre albedrío, ambos autores reconocen en el fondo que el ser humano tiene capacidad de decisión. </w:t>
      </w:r>
    </w:p>
    <w:p w:rsidR="00000000" w:rsidDel="00000000" w:rsidP="00000000" w:rsidRDefault="00000000" w:rsidRPr="00000000" w14:paraId="0000001D">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Por otro lado, resulta evidente que las definiciones de culpabilidad de ambos autores son diametralmente distintas en su trasfondo según el sistema penal que se propugna. De este modo, Jakobs por un lado sostiene su teoría de roles dentro de la organización social, en donde quien que delinque es un infiel al Derecho, y debe entonces, retribuir tal proceder con la aplicación de una pena en busca del equilibrio perdido en el sistema, al haber defraudado el papel que jugaba en la sociedad. Tal postura, en mi criterio desconoce abiertamente la culpabilidad como un coto al poder punitivo del Estado, tal cual lo propugna Roxin, quien reconoce en ello dos elementos cruciales de este tópico, como lo son la dignidad humana y el principio de proporcionalidad, los cuales según se verá líneas más adelante, serán insumos valiosos para poder contener el impacto de las neurociencias.</w:t>
      </w:r>
    </w:p>
    <w:p w:rsidR="00000000" w:rsidDel="00000000" w:rsidP="00000000" w:rsidRDefault="00000000" w:rsidRPr="00000000" w14:paraId="0000001E">
      <w:pPr>
        <w:spacing w:line="360" w:lineRule="auto"/>
        <w:ind w:left="708"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3.2. Otras voces frente al determinismo</w:t>
      </w:r>
    </w:p>
    <w:p w:rsidR="00000000" w:rsidDel="00000000" w:rsidP="00000000" w:rsidRDefault="00000000" w:rsidRPr="00000000" w14:paraId="0000001F">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Dejando de lado las posiciones del funcionalismo, es menester examinar otras posiciones surgidas de la dogmática penal, a efectos de buscar respuestas frente al determinismo de las neurociencias, razón por la cual se analizarán las propuestas de Demetrio Crespo, Hassemer y Feijoo Sánchez.</w:t>
      </w:r>
    </w:p>
    <w:p w:rsidR="00000000" w:rsidDel="00000000" w:rsidP="00000000" w:rsidRDefault="00000000" w:rsidRPr="00000000" w14:paraId="00000020">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A ese respecto, primeramente ha de examinarse la posición de Demetrio Crespo (2013), quien rechaza el determinismo, al calificarlo de mecanicista pues brinda una imagen deshumanizada reduciendo la acción de la persona a un simple fenómeno biológico, con el peligro latente de un Derecho Penal basado exclusivamente en medidas de seguridad. Por otro lado, dicho autor rechaza el indeterminismo basado en el libre albedrío por basarse en una premisa metafísica indemostrable, además, ofrece una percepción subjetiva de libertad, como base de la imputación de responsabilidad penal, la cual no es suficiente para efectos de una imputación jurídica.</w:t>
      </w:r>
    </w:p>
    <w:p w:rsidR="00000000" w:rsidDel="00000000" w:rsidP="00000000" w:rsidRDefault="00000000" w:rsidRPr="00000000" w14:paraId="00000021">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A partir de ahí, Demetrio Crespo (2014) promueve el compatibilismo humanista, como un punto intermedio entre el determinismo y el libre albedrío, pues neurociencias y el Derecho Penal deben situar al ser humano en el centro de sus reflexiones. Lo anterior, a partir de dos postulados básicos que se pueden sintetizar de la siguiente manera: </w:t>
      </w:r>
      <w:r w:rsidDel="00000000" w:rsidR="00000000" w:rsidRPr="00000000">
        <w:rPr>
          <w:rFonts w:ascii="Arial" w:cs="Arial" w:eastAsia="Arial" w:hAnsi="Arial"/>
          <w:b w:val="1"/>
          <w:bCs w:val="1"/>
          <w:rtl w:val="0"/>
        </w:rPr>
        <w:t xml:space="preserve">i) </w:t>
      </w:r>
      <w:r w:rsidDel="00000000" w:rsidR="00000000" w:rsidRPr="00000000">
        <w:rPr>
          <w:rFonts w:ascii="Arial" w:cs="Arial" w:eastAsia="Arial" w:hAnsi="Arial"/>
          <w:u w:val="single"/>
          <w:rtl w:val="0"/>
        </w:rPr>
        <w:t xml:space="preserve">Ampliación de los supuestos de inimputabilidad</w:t>
      </w:r>
      <w:r w:rsidDel="00000000" w:rsidR="00000000" w:rsidRPr="00000000">
        <w:rPr>
          <w:rFonts w:ascii="Arial" w:cs="Arial" w:eastAsia="Arial" w:hAnsi="Arial"/>
          <w:rtl w:val="0"/>
        </w:rPr>
        <w:t xml:space="preserve">: Si de manera científica se demuestra que una conducta se debió a déficits cerebrales, esta evidencia debe valorarse a favor del sujeto activo, lo cual podría conducir a casos de inimputabilidad o semi imputabilidad; y </w:t>
      </w:r>
      <w:r w:rsidDel="00000000" w:rsidR="00000000" w:rsidRPr="00000000">
        <w:rPr>
          <w:rFonts w:ascii="Arial" w:cs="Arial" w:eastAsia="Arial" w:hAnsi="Arial"/>
          <w:b w:val="1"/>
          <w:bCs w:val="1"/>
          <w:rtl w:val="0"/>
        </w:rPr>
        <w:t xml:space="preserve">ii) </w:t>
      </w:r>
      <w:r w:rsidDel="00000000" w:rsidR="00000000" w:rsidRPr="00000000">
        <w:rPr>
          <w:rFonts w:ascii="Arial" w:cs="Arial" w:eastAsia="Arial" w:hAnsi="Arial"/>
          <w:u w:val="single"/>
          <w:rtl w:val="0"/>
        </w:rPr>
        <w:t xml:space="preserve">Mantenimiento de garantías legales</w:t>
      </w:r>
      <w:r w:rsidDel="00000000" w:rsidR="00000000" w:rsidRPr="00000000">
        <w:rPr>
          <w:rFonts w:ascii="Arial" w:cs="Arial" w:eastAsia="Arial" w:hAnsi="Arial"/>
          <w:rtl w:val="0"/>
        </w:rPr>
        <w:t xml:space="preserve">: Partiendo de la dignidad humana, cualquier escenario de sanción deberá tener a la culpabilidad como límite y garantía, tanto sustantiva como adjetiva, para aquellas personas responsables penalmente dentro de un Estado de Derecho.</w:t>
      </w: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22">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Por su parte, Hassemer (2011) desde su crítica garantista, cuestiona que la neurociencia combata al libre albedrío sin asumir las consecuencias políticas de un Derecho Penal basado únicamente en medidas de seguridad, lo cual es más lesivo para la libertad. Bajo ese orden de ideas, este autor centra la atención del tema en la imputación, pues el concepto de persona y responsabilidad descansa en la dignidad humana, sin que tales aspectos dependan de la biología, por el contrario, obedecen a razones sociales y experiencias de la vida cotidiana.</w:t>
      </w:r>
    </w:p>
    <w:p w:rsidR="00000000" w:rsidDel="00000000" w:rsidP="00000000" w:rsidRDefault="00000000" w:rsidRPr="00000000" w14:paraId="00000023">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Bajo esa perspectiva, la propuesta de Hassemer (2011) sostiene que la culpabilidad subsiste porque la ley no exige probar la capacidad de decisión, antes bien, lo que pide acreditar es la ausencia de perturbaciones, aspecto en donde las ciencias empíricas pueden coadyuvar en la identificación de condiciones en la persona que excluya su imputabilidad.</w:t>
      </w:r>
    </w:p>
    <w:p w:rsidR="00000000" w:rsidDel="00000000" w:rsidP="00000000" w:rsidRDefault="00000000" w:rsidRPr="00000000" w14:paraId="00000024">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Finalmente, Feijoo Sánchez (2011) sostiene que, a pesar de la que las neurociencias demuestren que la persona es un ser determinado, no obliga </w:t>
      </w:r>
      <w:r w:rsidDel="00000000" w:rsidR="00000000" w:rsidRPr="00000000">
        <w:rPr>
          <w:rFonts w:ascii="Arial" w:cs="Arial" w:eastAsia="Arial" w:hAnsi="Arial"/>
          <w:i w:val="1"/>
          <w:iCs w:val="1"/>
          <w:rtl w:val="0"/>
        </w:rPr>
        <w:t xml:space="preserve">per se</w:t>
      </w:r>
      <w:r w:rsidDel="00000000" w:rsidR="00000000" w:rsidRPr="00000000">
        <w:rPr>
          <w:rFonts w:ascii="Arial" w:cs="Arial" w:eastAsia="Arial" w:hAnsi="Arial"/>
          <w:rtl w:val="0"/>
        </w:rPr>
        <w:t xml:space="preserve"> a cambiar los procesos de imputación, pues la vida en sociedad no sólo halla explicación mediante procesos neurológicos. A partir de ahí, sostiene que la culpabilidad en el Derecho Penal es una construcción social, desarrollando la teoría comunicativa de la culpabilidad, en donde existe una comunicación de una falta de disposición jurídica mínima hacia la norma por parte de quién delinque, persona la cual tiene la capacidad de autoadministrarse, aspecto necesario para garantizar un sistema de libertades. </w:t>
      </w:r>
    </w:p>
    <w:p w:rsidR="00000000" w:rsidDel="00000000" w:rsidP="00000000" w:rsidRDefault="00000000" w:rsidRPr="00000000" w14:paraId="00000025">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Con base en lo expuesto, las tres propuestas examinadas </w:t>
      </w:r>
      <w:r w:rsidDel="00000000" w:rsidR="00000000" w:rsidRPr="00000000">
        <w:rPr>
          <w:rFonts w:ascii="Arial" w:cs="Arial" w:eastAsia="Arial" w:hAnsi="Arial"/>
          <w:i w:val="1"/>
          <w:iCs w:val="1"/>
          <w:rtl w:val="0"/>
        </w:rPr>
        <w:t xml:space="preserve">supra</w:t>
      </w:r>
      <w:r w:rsidDel="00000000" w:rsidR="00000000" w:rsidRPr="00000000">
        <w:rPr>
          <w:rFonts w:ascii="Arial" w:cs="Arial" w:eastAsia="Arial" w:hAnsi="Arial"/>
          <w:rtl w:val="0"/>
        </w:rPr>
        <w:t xml:space="preserve">, fundan la solución al problema desde perspectivas diferentes: Demetrio Crespo relega la discusión filosófica del libre albedrío por un tema que estima básico en el Derecho Penal: el respeto a la dignidad humana como centro de la culpabilidad. En cuanto a Hassemer, este se inclina por mantener el libre albedrío pero como manifestación de la dignidad de la persona, estimando la culpabilidad como necesaria al ser límite del </w:t>
      </w:r>
      <w:r w:rsidDel="00000000" w:rsidR="00000000" w:rsidRPr="00000000">
        <w:rPr>
          <w:rFonts w:ascii="Arial" w:cs="Arial" w:eastAsia="Arial" w:hAnsi="Arial"/>
          <w:i w:val="1"/>
          <w:iCs w:val="1"/>
          <w:rtl w:val="0"/>
        </w:rPr>
        <w:t xml:space="preserve">ius puniendi </w:t>
      </w:r>
      <w:r w:rsidDel="00000000" w:rsidR="00000000" w:rsidRPr="00000000">
        <w:rPr>
          <w:rFonts w:ascii="Arial" w:cs="Arial" w:eastAsia="Arial" w:hAnsi="Arial"/>
          <w:rtl w:val="0"/>
        </w:rPr>
        <w:t xml:space="preserve">del Estado. Por otro lado, Feijoo Sánchez</w:t>
      </w:r>
      <w:r w:rsidDel="00000000" w:rsidR="00000000" w:rsidRPr="00000000">
        <w:rPr>
          <w:rFonts w:ascii="Arial" w:cs="Arial" w:eastAsia="Arial" w:hAnsi="Arial"/>
          <w:color w:val="000000"/>
          <w:rtl w:val="0"/>
        </w:rPr>
        <w:t xml:space="preserve"> considero que su propuesta presenta afinidades con el modelo de Jakobs, </w:t>
      </w:r>
      <w:r w:rsidDel="00000000" w:rsidR="00000000" w:rsidRPr="00000000">
        <w:rPr>
          <w:rFonts w:ascii="Arial" w:cs="Arial" w:eastAsia="Arial" w:hAnsi="Arial"/>
          <w:rtl w:val="0"/>
        </w:rPr>
        <w:t xml:space="preserve">al referir aspectos pragmáticos vinculados a la relevancia social y comunicación de la culpabilidad, así como la capacidad de la persona a autoadministrarse dentro de dicho orden, aunque al final haga breve una referencia a las libertades como elemento fundamental del sistema democrático en donde se ancla la culpabilidad.</w:t>
      </w:r>
    </w:p>
    <w:p w:rsidR="00000000" w:rsidDel="00000000" w:rsidP="00000000" w:rsidRDefault="00000000" w:rsidRPr="00000000" w14:paraId="00000026">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Desde esa perspectiva, me inclino por sustentar las ideas de Demetrio Crespo y Hassemer, las cuales parten de un tronco común: la culpabilidad como medida de la pena dentro de un Estado Democrático de Derecho cuyo eje fundamental debe serlo el principio de dignidad humana, el cual sumado al principio de proporcionalidad en la sanción, la considero como una de las respuestas con más peso para combatir la posición del determinismo derivada de las neurociencias. Unido a ello, se advierte en ambos autores una posición tendiente a no descartar del todo los avances científicos y tecnológicos, siempre y cuando no vengan a reemplazar criterios claves en el resguardo de los derechos fundamentales de las personas, debiendo imperar pese a todo, el principio de culpabilidad penal.</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CONCLUSIONES</w:t>
      </w:r>
    </w:p>
    <w:p w:rsidR="00000000" w:rsidDel="00000000" w:rsidP="00000000" w:rsidRDefault="00000000" w:rsidRPr="00000000" w14:paraId="00000028">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Las neurociencias niegan el libre albedrío en el ser humano, limitando sus acciones como simples reacciones neurológicas que acaecen antes que la persona crea que ha tomado una decisión. Sin embargo, la discusión de si el libre albedrío figura como límite o falacia dentro de la culpabilidad, debe dar espacio a una reflexión más profunda, lejos de una disputa filosófica sobre la libertad del ser humano. Lo anterior es así por cuanto, considero que el embate del determinismo debe ser contestado desde la dogmática penal, a partir de las posiciones asumidas por Demetrio Crepo y Hassemer, es decir, acorde con dos presupuestos básicos sin los cuales el Derecho Penal podría perder su norte: la dignidad humana y la culpabilidad como medida de la pena.</w:t>
      </w:r>
    </w:p>
    <w:p w:rsidR="00000000" w:rsidDel="00000000" w:rsidP="00000000" w:rsidRDefault="00000000" w:rsidRPr="00000000" w14:paraId="00000029">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Por su parte, desde el lente de funcionalismo, es claro Roxin y Jakobs saca de la contienda al libre albedrío, amén que ambos reconocen cómo el ser humano tiene capacidad de decisión, más allá de no compartir la posición de Jakobs en cuanto a la fidelidad al ordenamiento jurídico y el defecto cognitivo de la persona, al defraudar al Derecho con su acción -muy similar a la postura Feijoo Sánchez-, dado que esto podría dar pie a regímenes autoritarios bajo el dogma de que todos “debemos ser fieles” a la normativa. De esta forma, si algo puede rescatarse, proviene del funcionalismo moderado de Roxin, en cuanto su posición garantista al ver a la culpabilidad como un límite al poder punitivo del Estado, hace que el principio de culpabilidad no flaquee frente a los ataques de las neurociencias, por cuanto la necesaria demostración de la culpabilidad sigue siendo un pilar del Estado Democrático de Derecho. </w:t>
      </w:r>
    </w:p>
    <w:p w:rsidR="00000000" w:rsidDel="00000000" w:rsidP="00000000" w:rsidRDefault="00000000" w:rsidRPr="00000000" w14:paraId="0000002A">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Ergo, estimo que más allá de los hallazgos de las neurociencias, la culpabilidad no puede morir en este mar de avances tecnológicos en que navega hoy la sociedad. Por el contrario, existe un esfuerzo desde la dogmática penal, para la defensa de ésta desde su concepción del Derecho Penal liberal, partiendo como ya se dijo, del reconocimiento de la dignidad del ser humano por encima de cualquier descubrimiento de las ciencias empíricas y las voces del determinismo que niegan la capacidad de decisión de la persona. Siendo clave en la respuesta frente a las neurociencias, que la culpabilidad siga siendo una garantía fundamental para efectos de la sanción y como respuesta a la postura asumida por el neurodeterminismo respecto a que, debe tratarse toda acción delictiva conforme a medidas de seguridad, las cuales pueden ser más lesivas que la propia pena de prisión, esto bajo el prisma del principio de proporcionalidad.</w:t>
      </w:r>
    </w:p>
    <w:p w:rsidR="00000000" w:rsidDel="00000000" w:rsidP="00000000" w:rsidRDefault="00000000" w:rsidRPr="00000000" w14:paraId="0000002B">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Por último, debo destacar que, desde la posición de Demetrio Crespo y Hassemer, los hallazgos científicos no resultan ser despreciados, por el contrario si éstos se utilizan adecuadamente como medio de prueba para demostrar alguna patología mental que incide en la culpabilidad de quien se está juzgando en una causa penal, sus aportes siguen siendo bienvenidos, siempre y cuando no desplacen a ésta de manera absoluta como lo hace el determinismo.</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REFERENCIAS BIBLIOGRÁFICAS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Delgado García, J. M. (2022). Prestaciones del cerebro: ¿Para qué sirve el cerebro? Un punto de vista neurocientífico. En E. Demetrio Crespo (Ed.),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Derecho penal y comportamiento humano: Avances desde la neurociencia y la inteligencia artificial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(pp. 147–160). Tirant lo Blanch.</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Demetrio Crespo, E. (2013). Compatibilismo humanista: Una propuesta de conciliación entre neurociencias y Derecho Penal. En E. Demetrio Crespo y M. Maroto Calatayud (Eds.),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Neurociencias y Derecho Penal: Nuevas perspectivas en el ámbito de la culpabilidad y tratamiento jurídico-penal de la peligrosidad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(pp. 17–42). IB de F.</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Demetrio Crespo, E. (2014). ¿Libertad versus determinismo en Derecho penal?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Revista de Derecho y Genoma Humano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(Número extraordinario), 111–124.</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Feijoo Sánchez, B. (2011). Derecho Penal y Neurociencias: ¿Una relación tormentosa?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InDret: Revista para el Análisis del Derecho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 1–58.</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Hassemer, W. (2011). Neurociencias y culpabilidad en Derecho penal (M. Cancio Meliá, trad.).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InDret: Revista para el Análisis del Derecho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 1–15.</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Jakobs, G. (1992). El principio de culpabilidad (M. Cancio Meliá, trad.).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Anuario de Derecho Penal y Ciencias Penales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45</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1051–1083.</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Pacce, M. R. (2023). La influencia de las neurociencias sobre la culpabilidad como elemento de la teoría del delito penal. En E. Demetrio Crespo, D. C. Caro Coria, y M. E. Escobar Bravo (Eds.),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Estudios de Derecho penal, neurociencias e inteligencia artificial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(pp. 79–86). Ediciones de la Universidad de Castilla-La Mancha.</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Palma, M. F. (2022). El derecho como universo de sentido para la interfaz cerebro e Inteligencia Artificial. En E. Demetrio Crespo (Ed.),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Derecho penal y comportamiento humano: Avances desde la neurociencia y la inteligencia artificial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(pp. 173–186). Tirant lo Blanch.</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Roxin, C. (1997).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Derecho penal. Parte general: Tomo I. Fundamentos. La estructura de la teoría del delito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(D.-M. Luzón Peña, M. Díaz y García Conlledo, y J. de Vicente Remesal, trads.). Civitas.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360" w:lineRule="auto"/>
        <w:ind w:left="709"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Sánchez Vilanova, M. (2019).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Neuroimputabilidad: Una mirada interdisciplinar a la responsabilidad de los trastornos de la personalidad desde los avances de la neurociencia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Tirant lo Blanch.</w:t>
      </w:r>
    </w:p>
    <w:sectPr>
      <w:headerReference r:id="rId8" w:type="default"/>
      <w:footerReference r:id="rId9" w:type="default"/>
      <w:pgSz w:h="15840" w:w="12240" w:orient="portrait"/>
      <w:pgMar w:bottom="1418" w:top="1418"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spacing w:after="240" w:before="240" w:line="240" w:lineRule="auto"/>
      <w:jc w:val="center"/>
      <w:rPr/>
    </w:pPr>
    <w:r w:rsidDel="00000000" w:rsidR="00000000" w:rsidRPr="00000000">
      <w:rPr>
        <w:rtl w:val="0"/>
      </w:rPr>
    </w:r>
  </w:p>
  <w:p w:rsidR="00000000" w:rsidDel="00000000" w:rsidP="00000000" w:rsidRDefault="00000000" w:rsidRPr="00000000" w14:paraId="0000003B">
    <w:pPr>
      <w:spacing w:after="240" w:before="240" w:line="240" w:lineRule="auto"/>
      <w:jc w:val="center"/>
      <w:rPr>
        <w:rFonts w:ascii="Arial" w:cs="Arial" w:eastAsia="Arial" w:hAnsi="Arial"/>
        <w:color w:val="1155cc"/>
        <w:sz w:val="20"/>
        <w:szCs w:val="20"/>
        <w:u w:val="single"/>
      </w:rPr>
    </w:pPr>
    <w:hyperlink r:id="rId1">
      <w:r w:rsidDel="00000000" w:rsidR="00000000" w:rsidRPr="00000000">
        <w:rPr>
          <w:rFonts w:ascii="Arial" w:cs="Arial" w:eastAsia="Arial" w:hAnsi="Arial"/>
          <w:color w:val="1155cc"/>
          <w:sz w:val="20"/>
          <w:szCs w:val="20"/>
          <w:u w:val="single"/>
          <w:rtl w:val="0"/>
        </w:rPr>
        <w:t xml:space="preserve">Licencia Creative Commons Atribución-NoComercial-SinDerivadas 4.0 Internacional</w:t>
      </w:r>
    </w:hyperlink>
    <w:r w:rsidDel="00000000" w:rsidR="00000000" w:rsidRPr="00000000">
      <w:rPr>
        <w:rtl w:val="0"/>
      </w:rPr>
    </w:r>
  </w:p>
  <w:p w:rsidR="00000000" w:rsidDel="00000000" w:rsidP="00000000" w:rsidRDefault="00000000" w:rsidRPr="00000000" w14:paraId="0000003C">
    <w:pPr>
      <w:spacing w:after="240" w:before="240" w:line="240" w:lineRule="auto"/>
      <w:jc w:val="center"/>
      <w:rPr/>
    </w:pPr>
    <w:r w:rsidDel="00000000" w:rsidR="00000000" w:rsidRPr="00000000">
      <w:rPr>
        <w:rFonts w:ascii="Arial" w:cs="Arial" w:eastAsia="Arial" w:hAnsi="Arial"/>
        <w:color w:val="1155cc"/>
        <w:sz w:val="20"/>
        <w:szCs w:val="20"/>
        <w:u w:val="single"/>
      </w:rPr>
      <w:drawing>
        <wp:inline distB="114300" distT="114300" distL="114300" distR="114300">
          <wp:extent cx="520700" cy="177800"/>
          <wp:effectExtent b="0" l="0" r="0" t="0"/>
          <wp:docPr descr="Licencia CC | Ad-Gnosis" id="1" name="image2.png"/>
          <a:graphic>
            <a:graphicData uri="http://schemas.openxmlformats.org/drawingml/2006/picture">
              <pic:pic>
                <pic:nvPicPr>
                  <pic:cNvPr descr="Licencia CC | Ad-Gnosis" id="0" name="image2.png"/>
                  <pic:cNvPicPr preferRelativeResize="0"/>
                </pic:nvPicPr>
                <pic:blipFill>
                  <a:blip r:embed="rId2"/>
                  <a:srcRect b="0" l="0" r="0" t="0"/>
                  <a:stretch>
                    <a:fillRect/>
                  </a:stretch>
                </pic:blipFill>
                <pic:spPr>
                  <a:xfrm>
                    <a:off x="0" y="0"/>
                    <a:ext cx="520700" cy="177800"/>
                  </a:xfrm>
                  <a:prstGeom prst="rect"/>
                  <a:ln/>
                </pic:spPr>
              </pic:pic>
            </a:graphicData>
          </a:graphic>
        </wp:inline>
      </w:drawing>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Costarricense, abogado. Licenciado en Derecho de la Universidad de Costa Rica, San José, Costa Rica. Especialista en Derecho Notarial y Registral de la Universidad Interamericana y en Delincuencia Organizada y Delitos contra la Función Pública de la Academia de la Magistratura del Perú, y máster en Ciencias Penales de la Universidad Internacional de las Américas. Doctorando del Doctorado en Derecho de la Universidad de Costa Rica. Juez Penal del Poder Judicial de Costa Rica. correo: </w:t>
      </w:r>
      <w:hyperlink r:id="rId1">
        <w:r w:rsidDel="00000000" w:rsidR="00000000" w:rsidRPr="00000000">
          <w:rPr>
            <w:rFonts w:ascii="Arial" w:cs="Arial" w:eastAsia="Arial" w:hAnsi="Arial"/>
            <w:b w:val="0"/>
            <w:bCs w:val="0"/>
            <w:i w:val="0"/>
            <w:iCs w:val="0"/>
            <w:smallCaps w:val="0"/>
            <w:strike w:val="0"/>
            <w:color w:val="467886"/>
            <w:sz w:val="20"/>
            <w:szCs w:val="20"/>
            <w:u w:val="single"/>
            <w:shd w:fill="auto" w:val="clear"/>
            <w:vertAlign w:val="baseline"/>
            <w:rtl w:val="0"/>
          </w:rPr>
          <w:t xml:space="preserve">apiedrap@hotmail.com</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ORCID; https//orcid.org/0009-0004-6042-6692.</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-1057274</wp:posOffset>
          </wp:positionH>
          <wp:positionV relativeFrom="paragraph">
            <wp:posOffset>-333374</wp:posOffset>
          </wp:positionV>
          <wp:extent cx="7734300" cy="94256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34300" cy="942560"/>
                  </a:xfrm>
                  <a:prstGeom prst="rect"/>
                  <a:ln/>
                </pic:spPr>
              </pic:pic>
            </a:graphicData>
          </a:graphic>
        </wp:anchor>
      </w:drawing>
    </w:r>
  </w:p>
  <w:p w:rsidR="00000000" w:rsidDel="00000000" w:rsidP="00000000" w:rsidRDefault="00000000" w:rsidRPr="00000000" w14:paraId="000000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MX"/>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paragraph" w:styleId="Ttulo7">
    <w:name w:val="heading 7"/>
    <w:basedOn w:val="Normal"/>
    <w:next w:val="Normal"/>
    <w:link w:val="Ttulo7Car"/>
    <w:uiPriority w:val="9"/>
    <w:semiHidden w:val="1"/>
    <w:unhideWhenUsed w:val="1"/>
    <w:qFormat w:val="1"/>
    <w:rsid w:val="00054F6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054F6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054F6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54F6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054F6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054F6B"/>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054F6B"/>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054F6B"/>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054F6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054F6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054F6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054F6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054F6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054F6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054F6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054F6B"/>
    <w:rPr>
      <w:i w:val="1"/>
      <w:iCs w:val="1"/>
      <w:color w:val="404040" w:themeColor="text1" w:themeTint="0000BF"/>
    </w:rPr>
  </w:style>
  <w:style w:type="paragraph" w:styleId="Prrafodelista">
    <w:name w:val="List Paragraph"/>
    <w:basedOn w:val="Normal"/>
    <w:uiPriority w:val="34"/>
    <w:qFormat w:val="1"/>
    <w:rsid w:val="00054F6B"/>
    <w:pPr>
      <w:ind w:left="720"/>
      <w:contextualSpacing w:val="1"/>
    </w:pPr>
  </w:style>
  <w:style w:type="character" w:styleId="nfasisintenso">
    <w:name w:val="Intense Emphasis"/>
    <w:basedOn w:val="Fuentedeprrafopredeter"/>
    <w:uiPriority w:val="21"/>
    <w:qFormat w:val="1"/>
    <w:rsid w:val="00054F6B"/>
    <w:rPr>
      <w:i w:val="1"/>
      <w:iCs w:val="1"/>
      <w:color w:val="0f4761" w:themeColor="accent1" w:themeShade="0000BF"/>
    </w:rPr>
  </w:style>
  <w:style w:type="paragraph" w:styleId="Citadestacada">
    <w:name w:val="Intense Quote"/>
    <w:basedOn w:val="Normal"/>
    <w:next w:val="Normal"/>
    <w:link w:val="CitadestacadaCar"/>
    <w:uiPriority w:val="30"/>
    <w:qFormat w:val="1"/>
    <w:rsid w:val="00054F6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054F6B"/>
    <w:rPr>
      <w:i w:val="1"/>
      <w:iCs w:val="1"/>
      <w:color w:val="0f4761" w:themeColor="accent1" w:themeShade="0000BF"/>
    </w:rPr>
  </w:style>
  <w:style w:type="character" w:styleId="Referenciaintensa">
    <w:name w:val="Intense Reference"/>
    <w:basedOn w:val="Fuentedeprrafopredeter"/>
    <w:uiPriority w:val="32"/>
    <w:qFormat w:val="1"/>
    <w:rsid w:val="00054F6B"/>
    <w:rPr>
      <w:b w:val="1"/>
      <w:bCs w:val="1"/>
      <w:smallCaps w:val="1"/>
      <w:color w:val="0f4761" w:themeColor="accent1" w:themeShade="0000BF"/>
      <w:spacing w:val="5"/>
    </w:rPr>
  </w:style>
  <w:style w:type="paragraph" w:styleId="Textonotapie">
    <w:name w:val="footnote text"/>
    <w:basedOn w:val="Normal"/>
    <w:link w:val="TextonotapieCar"/>
    <w:uiPriority w:val="99"/>
    <w:semiHidden w:val="1"/>
    <w:unhideWhenUsed w:val="1"/>
    <w:rsid w:val="00CE6719"/>
    <w:pPr>
      <w:spacing w:after="0" w:line="240" w:lineRule="auto"/>
    </w:pPr>
    <w:rPr>
      <w:sz w:val="20"/>
      <w:szCs w:val="20"/>
    </w:rPr>
  </w:style>
  <w:style w:type="character" w:styleId="TextonotapieCar" w:customStyle="1">
    <w:name w:val="Texto nota pie Car"/>
    <w:basedOn w:val="Fuentedeprrafopredeter"/>
    <w:link w:val="Textonotapie"/>
    <w:uiPriority w:val="99"/>
    <w:semiHidden w:val="1"/>
    <w:rsid w:val="00CE6719"/>
    <w:rPr>
      <w:sz w:val="20"/>
      <w:szCs w:val="20"/>
    </w:rPr>
  </w:style>
  <w:style w:type="character" w:styleId="Refdenotaalpie">
    <w:name w:val="footnote reference"/>
    <w:basedOn w:val="Fuentedeprrafopredeter"/>
    <w:uiPriority w:val="99"/>
    <w:semiHidden w:val="1"/>
    <w:unhideWhenUsed w:val="1"/>
    <w:rsid w:val="00CE6719"/>
    <w:rPr>
      <w:vertAlign w:val="superscript"/>
    </w:rPr>
  </w:style>
  <w:style w:type="character" w:styleId="Hipervnculo">
    <w:name w:val="Hyperlink"/>
    <w:basedOn w:val="Fuentedeprrafopredeter"/>
    <w:uiPriority w:val="99"/>
    <w:unhideWhenUsed w:val="1"/>
    <w:rsid w:val="00E045B4"/>
    <w:rPr>
      <w:color w:val="467886" w:themeColor="hyperlink"/>
      <w:u w:val="single"/>
    </w:rPr>
  </w:style>
  <w:style w:type="paragraph" w:styleId="NormalWeb">
    <w:name w:val="Normal (Web)"/>
    <w:basedOn w:val="Normal"/>
    <w:uiPriority w:val="99"/>
    <w:unhideWhenUsed w:val="1"/>
    <w:rsid w:val="00D674E6"/>
    <w:pPr>
      <w:spacing w:after="100" w:afterAutospacing="1" w:before="100" w:beforeAutospacing="1" w:line="240" w:lineRule="auto"/>
    </w:pPr>
    <w:rPr>
      <w:rFonts w:ascii="Times New Roman" w:cs="Times New Roman" w:eastAsia="Times New Roman" w:hAnsi="Times New Roman"/>
      <w:kern w:val="0"/>
      <w:lang w:eastAsia="es-CR"/>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nd/4.0/deed.es" TargetMode="External"/><Relationship Id="rId2"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mailto:apiedrap@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6/c6MSsdlGG973/KM290Mlw6lQ==">CgMxLjAyD2lkLm82dGUyODc5dGVhaDgAciExYlprYXlvRjEtWDRqbEFoWXUtQUx2YzJOZXBtTmd4ei0=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2026-09-30T18:41:00Z</dcterms:created>
  <dc:creator>Jose Piedra</dc:creator>
</cp:coreProperties>
</file>