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B2320" w:rsidRPr="00965A78" w:rsidRDefault="00000000" w:rsidP="00965A78">
      <w:pPr>
        <w:spacing w:after="0" w:line="240" w:lineRule="auto"/>
        <w:jc w:val="center"/>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shd w:val="clear" w:color="auto" w:fill="D9D2E9"/>
        </w:rPr>
        <w:t>APPENDIX 1</w:t>
      </w:r>
    </w:p>
    <w:p w:rsidR="009B2320" w:rsidRPr="00965A78" w:rsidRDefault="00000000" w:rsidP="00965A78">
      <w:pPr>
        <w:spacing w:after="0" w:line="240" w:lineRule="auto"/>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 xml:space="preserve">Identity, abundance and size of hermatypic coral colonies recorded during the baseline survey conducted in November 2021 at Puerto </w:t>
      </w:r>
      <w:proofErr w:type="spellStart"/>
      <w:r w:rsidRPr="00965A78">
        <w:rPr>
          <w:rFonts w:ascii="Times New Roman" w:eastAsia="Times New Roman" w:hAnsi="Times New Roman" w:cs="Times New Roman"/>
          <w:sz w:val="24"/>
          <w:szCs w:val="24"/>
        </w:rPr>
        <w:t>Villamil</w:t>
      </w:r>
      <w:proofErr w:type="spellEnd"/>
      <w:r w:rsidRPr="00965A78">
        <w:rPr>
          <w:rFonts w:ascii="Times New Roman" w:eastAsia="Times New Roman" w:hAnsi="Times New Roman" w:cs="Times New Roman"/>
          <w:sz w:val="24"/>
          <w:szCs w:val="24"/>
        </w:rPr>
        <w:t>, Isabela Island, Galápagos Archipelago.</w:t>
      </w:r>
    </w:p>
    <w:p w:rsidR="009B2320" w:rsidRPr="00965A78" w:rsidRDefault="009B2320" w:rsidP="00965A78">
      <w:pPr>
        <w:spacing w:after="0" w:line="240" w:lineRule="auto"/>
        <w:rPr>
          <w:rFonts w:ascii="Times New Roman" w:eastAsia="Times New Roman" w:hAnsi="Times New Roman" w:cs="Times New Roman"/>
          <w:sz w:val="24"/>
          <w:szCs w:val="24"/>
        </w:rPr>
      </w:pPr>
    </w:p>
    <w:tbl>
      <w:tblPr>
        <w:tblStyle w:val="a4"/>
        <w:tblW w:w="91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0"/>
        <w:gridCol w:w="750"/>
        <w:gridCol w:w="1395"/>
        <w:gridCol w:w="810"/>
        <w:gridCol w:w="780"/>
        <w:gridCol w:w="885"/>
        <w:gridCol w:w="810"/>
        <w:gridCol w:w="825"/>
        <w:gridCol w:w="810"/>
      </w:tblGrid>
      <w:tr w:rsidR="009B2320" w:rsidRPr="00965A78">
        <w:trPr>
          <w:jc w:val="center"/>
        </w:trPr>
        <w:tc>
          <w:tcPr>
            <w:tcW w:w="2130" w:type="dxa"/>
            <w:vMerge w:val="restart"/>
            <w:vAlign w:val="center"/>
          </w:tcPr>
          <w:p w:rsidR="009B2320" w:rsidRPr="00965A78" w:rsidRDefault="00000000" w:rsidP="00965A78">
            <w:pPr>
              <w:jc w:val="center"/>
              <w:rPr>
                <w:rFonts w:ascii="Times New Roman" w:eastAsia="Times New Roman" w:hAnsi="Times New Roman" w:cs="Times New Roman"/>
                <w:b/>
                <w:bCs/>
                <w:sz w:val="24"/>
                <w:szCs w:val="24"/>
              </w:rPr>
            </w:pPr>
            <w:r w:rsidRPr="00965A78">
              <w:rPr>
                <w:rFonts w:ascii="Times New Roman" w:eastAsia="Times New Roman" w:hAnsi="Times New Roman" w:cs="Times New Roman"/>
                <w:b/>
                <w:bCs/>
                <w:sz w:val="24"/>
                <w:szCs w:val="24"/>
              </w:rPr>
              <w:t>Taxa</w:t>
            </w:r>
          </w:p>
        </w:tc>
        <w:tc>
          <w:tcPr>
            <w:tcW w:w="750" w:type="dxa"/>
            <w:vMerge w:val="restart"/>
            <w:vAlign w:val="center"/>
          </w:tcPr>
          <w:p w:rsidR="009B2320" w:rsidRPr="00965A78" w:rsidRDefault="00000000" w:rsidP="00965A78">
            <w:pPr>
              <w:jc w:val="center"/>
              <w:rPr>
                <w:rFonts w:ascii="Times New Roman" w:eastAsia="Times New Roman" w:hAnsi="Times New Roman" w:cs="Times New Roman"/>
                <w:b/>
                <w:bCs/>
                <w:sz w:val="24"/>
                <w:szCs w:val="24"/>
              </w:rPr>
            </w:pPr>
            <w:r w:rsidRPr="00965A78">
              <w:rPr>
                <w:rFonts w:ascii="Times New Roman" w:eastAsia="Times New Roman" w:hAnsi="Times New Roman" w:cs="Times New Roman"/>
                <w:b/>
                <w:bCs/>
                <w:sz w:val="24"/>
                <w:szCs w:val="24"/>
              </w:rPr>
              <w:t>n</w:t>
            </w:r>
          </w:p>
        </w:tc>
        <w:tc>
          <w:tcPr>
            <w:tcW w:w="1395" w:type="dxa"/>
            <w:vMerge w:val="restart"/>
          </w:tcPr>
          <w:p w:rsidR="009B2320" w:rsidRPr="00965A78" w:rsidRDefault="00000000" w:rsidP="00965A78">
            <w:pPr>
              <w:jc w:val="center"/>
              <w:rPr>
                <w:rFonts w:ascii="Times New Roman" w:eastAsia="Times New Roman" w:hAnsi="Times New Roman" w:cs="Times New Roman"/>
                <w:b/>
                <w:bCs/>
                <w:sz w:val="24"/>
                <w:szCs w:val="24"/>
              </w:rPr>
            </w:pPr>
            <w:r w:rsidRPr="00965A78">
              <w:rPr>
                <w:rFonts w:ascii="Times New Roman" w:eastAsia="Times New Roman" w:hAnsi="Times New Roman" w:cs="Times New Roman"/>
                <w:b/>
                <w:bCs/>
                <w:sz w:val="24"/>
                <w:szCs w:val="24"/>
              </w:rPr>
              <w:t>Rel. Abundance</w:t>
            </w:r>
          </w:p>
        </w:tc>
        <w:tc>
          <w:tcPr>
            <w:tcW w:w="1590" w:type="dxa"/>
            <w:gridSpan w:val="2"/>
          </w:tcPr>
          <w:p w:rsidR="009B2320" w:rsidRPr="00965A78" w:rsidRDefault="00000000" w:rsidP="00965A78">
            <w:pPr>
              <w:jc w:val="center"/>
              <w:rPr>
                <w:rFonts w:ascii="Times New Roman" w:eastAsia="Times New Roman" w:hAnsi="Times New Roman" w:cs="Times New Roman"/>
                <w:b/>
                <w:bCs/>
                <w:sz w:val="24"/>
                <w:szCs w:val="24"/>
              </w:rPr>
            </w:pPr>
            <w:r w:rsidRPr="00965A78">
              <w:rPr>
                <w:rFonts w:ascii="Times New Roman" w:eastAsia="Times New Roman" w:hAnsi="Times New Roman" w:cs="Times New Roman"/>
                <w:b/>
                <w:bCs/>
                <w:sz w:val="24"/>
                <w:szCs w:val="24"/>
              </w:rPr>
              <w:t>Depth (m)</w:t>
            </w:r>
          </w:p>
        </w:tc>
        <w:tc>
          <w:tcPr>
            <w:tcW w:w="1695" w:type="dxa"/>
            <w:gridSpan w:val="2"/>
          </w:tcPr>
          <w:p w:rsidR="009B2320" w:rsidRPr="00965A78" w:rsidRDefault="00000000" w:rsidP="00965A78">
            <w:pPr>
              <w:jc w:val="center"/>
              <w:rPr>
                <w:rFonts w:ascii="Times New Roman" w:eastAsia="Times New Roman" w:hAnsi="Times New Roman" w:cs="Times New Roman"/>
                <w:b/>
                <w:bCs/>
                <w:sz w:val="24"/>
                <w:szCs w:val="24"/>
              </w:rPr>
            </w:pPr>
            <w:r w:rsidRPr="00965A78">
              <w:rPr>
                <w:rFonts w:ascii="Times New Roman" w:eastAsia="Times New Roman" w:hAnsi="Times New Roman" w:cs="Times New Roman"/>
                <w:b/>
                <w:bCs/>
                <w:sz w:val="24"/>
                <w:szCs w:val="24"/>
              </w:rPr>
              <w:t>Diameter (cm)</w:t>
            </w:r>
          </w:p>
        </w:tc>
        <w:tc>
          <w:tcPr>
            <w:tcW w:w="1635" w:type="dxa"/>
            <w:gridSpan w:val="2"/>
          </w:tcPr>
          <w:p w:rsidR="009B2320" w:rsidRPr="00965A78" w:rsidRDefault="00000000" w:rsidP="00965A78">
            <w:pPr>
              <w:jc w:val="center"/>
              <w:rPr>
                <w:rFonts w:ascii="Times New Roman" w:eastAsia="Times New Roman" w:hAnsi="Times New Roman" w:cs="Times New Roman"/>
                <w:b/>
                <w:bCs/>
                <w:sz w:val="24"/>
                <w:szCs w:val="24"/>
              </w:rPr>
            </w:pPr>
            <w:r w:rsidRPr="00965A78">
              <w:rPr>
                <w:rFonts w:ascii="Times New Roman" w:eastAsia="Times New Roman" w:hAnsi="Times New Roman" w:cs="Times New Roman"/>
                <w:b/>
                <w:bCs/>
                <w:sz w:val="24"/>
                <w:szCs w:val="24"/>
              </w:rPr>
              <w:t>Height (cm)</w:t>
            </w:r>
          </w:p>
        </w:tc>
      </w:tr>
      <w:tr w:rsidR="009B2320" w:rsidRPr="00965A78">
        <w:trPr>
          <w:jc w:val="center"/>
        </w:trPr>
        <w:tc>
          <w:tcPr>
            <w:tcW w:w="2130" w:type="dxa"/>
            <w:vMerge/>
            <w:vAlign w:val="center"/>
          </w:tcPr>
          <w:p w:rsidR="009B2320" w:rsidRPr="00965A78" w:rsidRDefault="009B2320" w:rsidP="00965A78">
            <w:pPr>
              <w:widowControl w:val="0"/>
              <w:pBdr>
                <w:top w:val="nil"/>
                <w:left w:val="nil"/>
                <w:bottom w:val="nil"/>
                <w:right w:val="nil"/>
                <w:between w:val="nil"/>
              </w:pBdr>
              <w:rPr>
                <w:rFonts w:ascii="Times New Roman" w:eastAsia="Times New Roman" w:hAnsi="Times New Roman" w:cs="Times New Roman"/>
                <w:b/>
                <w:bCs/>
                <w:sz w:val="24"/>
                <w:szCs w:val="24"/>
              </w:rPr>
            </w:pPr>
          </w:p>
        </w:tc>
        <w:tc>
          <w:tcPr>
            <w:tcW w:w="750" w:type="dxa"/>
            <w:vMerge/>
            <w:vAlign w:val="center"/>
          </w:tcPr>
          <w:p w:rsidR="009B2320" w:rsidRPr="00965A78" w:rsidRDefault="009B2320" w:rsidP="00965A78">
            <w:pPr>
              <w:widowControl w:val="0"/>
              <w:pBdr>
                <w:top w:val="nil"/>
                <w:left w:val="nil"/>
                <w:bottom w:val="nil"/>
                <w:right w:val="nil"/>
                <w:between w:val="nil"/>
              </w:pBdr>
              <w:rPr>
                <w:rFonts w:ascii="Times New Roman" w:eastAsia="Times New Roman" w:hAnsi="Times New Roman" w:cs="Times New Roman"/>
                <w:b/>
                <w:bCs/>
                <w:sz w:val="24"/>
                <w:szCs w:val="24"/>
              </w:rPr>
            </w:pPr>
          </w:p>
        </w:tc>
        <w:tc>
          <w:tcPr>
            <w:tcW w:w="1395" w:type="dxa"/>
            <w:vMerge/>
          </w:tcPr>
          <w:p w:rsidR="009B2320" w:rsidRPr="00965A78" w:rsidRDefault="009B2320" w:rsidP="00965A78">
            <w:pPr>
              <w:widowControl w:val="0"/>
              <w:pBdr>
                <w:top w:val="nil"/>
                <w:left w:val="nil"/>
                <w:bottom w:val="nil"/>
                <w:right w:val="nil"/>
                <w:between w:val="nil"/>
              </w:pBdr>
              <w:rPr>
                <w:rFonts w:ascii="Times New Roman" w:eastAsia="Times New Roman" w:hAnsi="Times New Roman" w:cs="Times New Roman"/>
                <w:b/>
                <w:bCs/>
                <w:sz w:val="24"/>
                <w:szCs w:val="24"/>
              </w:rPr>
            </w:pPr>
          </w:p>
        </w:tc>
        <w:tc>
          <w:tcPr>
            <w:tcW w:w="810" w:type="dxa"/>
          </w:tcPr>
          <w:p w:rsidR="009B2320" w:rsidRPr="00965A78" w:rsidRDefault="00000000" w:rsidP="00965A78">
            <w:pPr>
              <w:jc w:val="center"/>
              <w:rPr>
                <w:rFonts w:ascii="Times New Roman" w:eastAsia="Times New Roman" w:hAnsi="Times New Roman" w:cs="Times New Roman"/>
                <w:b/>
                <w:bCs/>
                <w:sz w:val="24"/>
                <w:szCs w:val="24"/>
              </w:rPr>
            </w:pPr>
            <w:r w:rsidRPr="00965A78">
              <w:rPr>
                <w:rFonts w:ascii="Times New Roman" w:eastAsia="Times New Roman" w:hAnsi="Times New Roman" w:cs="Times New Roman"/>
                <w:b/>
                <w:bCs/>
                <w:sz w:val="24"/>
                <w:szCs w:val="24"/>
              </w:rPr>
              <w:t>min</w:t>
            </w:r>
          </w:p>
        </w:tc>
        <w:tc>
          <w:tcPr>
            <w:tcW w:w="780" w:type="dxa"/>
          </w:tcPr>
          <w:p w:rsidR="009B2320" w:rsidRPr="00965A78" w:rsidRDefault="00000000" w:rsidP="00965A78">
            <w:pPr>
              <w:jc w:val="center"/>
              <w:rPr>
                <w:rFonts w:ascii="Times New Roman" w:eastAsia="Times New Roman" w:hAnsi="Times New Roman" w:cs="Times New Roman"/>
                <w:b/>
                <w:bCs/>
                <w:sz w:val="24"/>
                <w:szCs w:val="24"/>
              </w:rPr>
            </w:pPr>
            <w:r w:rsidRPr="00965A78">
              <w:rPr>
                <w:rFonts w:ascii="Times New Roman" w:eastAsia="Times New Roman" w:hAnsi="Times New Roman" w:cs="Times New Roman"/>
                <w:b/>
                <w:bCs/>
                <w:sz w:val="24"/>
                <w:szCs w:val="24"/>
              </w:rPr>
              <w:t>max</w:t>
            </w:r>
          </w:p>
        </w:tc>
        <w:tc>
          <w:tcPr>
            <w:tcW w:w="885" w:type="dxa"/>
          </w:tcPr>
          <w:p w:rsidR="009B2320" w:rsidRPr="00965A78" w:rsidRDefault="00000000" w:rsidP="00965A78">
            <w:pPr>
              <w:jc w:val="center"/>
              <w:rPr>
                <w:rFonts w:ascii="Times New Roman" w:eastAsia="Times New Roman" w:hAnsi="Times New Roman" w:cs="Times New Roman"/>
                <w:b/>
                <w:bCs/>
                <w:sz w:val="24"/>
                <w:szCs w:val="24"/>
              </w:rPr>
            </w:pPr>
            <w:r w:rsidRPr="00965A78">
              <w:rPr>
                <w:rFonts w:ascii="Times New Roman" w:eastAsia="Times New Roman" w:hAnsi="Times New Roman" w:cs="Times New Roman"/>
                <w:b/>
                <w:bCs/>
                <w:sz w:val="24"/>
                <w:szCs w:val="24"/>
              </w:rPr>
              <w:t>min</w:t>
            </w:r>
          </w:p>
        </w:tc>
        <w:tc>
          <w:tcPr>
            <w:tcW w:w="810" w:type="dxa"/>
          </w:tcPr>
          <w:p w:rsidR="009B2320" w:rsidRPr="00965A78" w:rsidRDefault="00000000" w:rsidP="00965A78">
            <w:pPr>
              <w:jc w:val="center"/>
              <w:rPr>
                <w:rFonts w:ascii="Times New Roman" w:eastAsia="Times New Roman" w:hAnsi="Times New Roman" w:cs="Times New Roman"/>
                <w:b/>
                <w:bCs/>
                <w:sz w:val="24"/>
                <w:szCs w:val="24"/>
              </w:rPr>
            </w:pPr>
            <w:r w:rsidRPr="00965A78">
              <w:rPr>
                <w:rFonts w:ascii="Times New Roman" w:eastAsia="Times New Roman" w:hAnsi="Times New Roman" w:cs="Times New Roman"/>
                <w:b/>
                <w:bCs/>
                <w:sz w:val="24"/>
                <w:szCs w:val="24"/>
              </w:rPr>
              <w:t>max</w:t>
            </w:r>
          </w:p>
        </w:tc>
        <w:tc>
          <w:tcPr>
            <w:tcW w:w="825" w:type="dxa"/>
          </w:tcPr>
          <w:p w:rsidR="009B2320" w:rsidRPr="00965A78" w:rsidRDefault="00000000" w:rsidP="00965A78">
            <w:pPr>
              <w:jc w:val="center"/>
              <w:rPr>
                <w:rFonts w:ascii="Times New Roman" w:eastAsia="Times New Roman" w:hAnsi="Times New Roman" w:cs="Times New Roman"/>
                <w:b/>
                <w:bCs/>
                <w:sz w:val="24"/>
                <w:szCs w:val="24"/>
              </w:rPr>
            </w:pPr>
            <w:r w:rsidRPr="00965A78">
              <w:rPr>
                <w:rFonts w:ascii="Times New Roman" w:eastAsia="Times New Roman" w:hAnsi="Times New Roman" w:cs="Times New Roman"/>
                <w:b/>
                <w:bCs/>
                <w:sz w:val="24"/>
                <w:szCs w:val="24"/>
              </w:rPr>
              <w:t>min</w:t>
            </w:r>
          </w:p>
        </w:tc>
        <w:tc>
          <w:tcPr>
            <w:tcW w:w="810" w:type="dxa"/>
          </w:tcPr>
          <w:p w:rsidR="009B2320" w:rsidRPr="00965A78" w:rsidRDefault="00000000" w:rsidP="00965A78">
            <w:pPr>
              <w:jc w:val="center"/>
              <w:rPr>
                <w:rFonts w:ascii="Times New Roman" w:eastAsia="Times New Roman" w:hAnsi="Times New Roman" w:cs="Times New Roman"/>
                <w:b/>
                <w:bCs/>
                <w:sz w:val="24"/>
                <w:szCs w:val="24"/>
              </w:rPr>
            </w:pPr>
            <w:r w:rsidRPr="00965A78">
              <w:rPr>
                <w:rFonts w:ascii="Times New Roman" w:eastAsia="Times New Roman" w:hAnsi="Times New Roman" w:cs="Times New Roman"/>
                <w:b/>
                <w:bCs/>
                <w:sz w:val="24"/>
                <w:szCs w:val="24"/>
              </w:rPr>
              <w:t>max</w:t>
            </w:r>
          </w:p>
        </w:tc>
      </w:tr>
      <w:tr w:rsidR="009B2320" w:rsidRPr="00965A78">
        <w:trPr>
          <w:jc w:val="center"/>
        </w:trPr>
        <w:tc>
          <w:tcPr>
            <w:tcW w:w="2130" w:type="dxa"/>
          </w:tcPr>
          <w:p w:rsidR="009B2320" w:rsidRPr="00965A78" w:rsidRDefault="00000000" w:rsidP="00965A78">
            <w:pPr>
              <w:jc w:val="center"/>
              <w:rPr>
                <w:rFonts w:ascii="Times New Roman" w:eastAsia="Times New Roman" w:hAnsi="Times New Roman" w:cs="Times New Roman"/>
                <w:i/>
                <w:iCs/>
                <w:sz w:val="24"/>
                <w:szCs w:val="24"/>
              </w:rPr>
            </w:pPr>
            <w:proofErr w:type="spellStart"/>
            <w:r w:rsidRPr="00965A78">
              <w:rPr>
                <w:rFonts w:ascii="Times New Roman" w:eastAsia="Times New Roman" w:hAnsi="Times New Roman" w:cs="Times New Roman"/>
                <w:i/>
                <w:iCs/>
                <w:sz w:val="24"/>
                <w:szCs w:val="24"/>
              </w:rPr>
              <w:t>Pocillopora</w:t>
            </w:r>
            <w:proofErr w:type="spellEnd"/>
          </w:p>
        </w:tc>
        <w:tc>
          <w:tcPr>
            <w:tcW w:w="750"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2626</w:t>
            </w:r>
          </w:p>
        </w:tc>
        <w:tc>
          <w:tcPr>
            <w:tcW w:w="1395"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73.6 %</w:t>
            </w:r>
          </w:p>
        </w:tc>
        <w:tc>
          <w:tcPr>
            <w:tcW w:w="810"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0.5</w:t>
            </w:r>
          </w:p>
        </w:tc>
        <w:tc>
          <w:tcPr>
            <w:tcW w:w="780"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6.0</w:t>
            </w:r>
          </w:p>
        </w:tc>
        <w:tc>
          <w:tcPr>
            <w:tcW w:w="885"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4.0</w:t>
            </w:r>
          </w:p>
        </w:tc>
        <w:tc>
          <w:tcPr>
            <w:tcW w:w="810"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210.0</w:t>
            </w:r>
          </w:p>
        </w:tc>
        <w:tc>
          <w:tcPr>
            <w:tcW w:w="825"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2.0</w:t>
            </w:r>
          </w:p>
        </w:tc>
        <w:tc>
          <w:tcPr>
            <w:tcW w:w="810"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60.0</w:t>
            </w:r>
          </w:p>
        </w:tc>
      </w:tr>
      <w:tr w:rsidR="009B2320" w:rsidRPr="00965A78">
        <w:trPr>
          <w:jc w:val="center"/>
        </w:trPr>
        <w:tc>
          <w:tcPr>
            <w:tcW w:w="2130" w:type="dxa"/>
          </w:tcPr>
          <w:p w:rsidR="009B2320" w:rsidRPr="00965A78" w:rsidRDefault="00000000" w:rsidP="00965A78">
            <w:pPr>
              <w:jc w:val="center"/>
              <w:rPr>
                <w:rFonts w:ascii="Times New Roman" w:eastAsia="Times New Roman" w:hAnsi="Times New Roman" w:cs="Times New Roman"/>
                <w:i/>
                <w:iCs/>
                <w:sz w:val="24"/>
                <w:szCs w:val="24"/>
              </w:rPr>
            </w:pPr>
            <w:proofErr w:type="spellStart"/>
            <w:r w:rsidRPr="00965A78">
              <w:rPr>
                <w:rFonts w:ascii="Times New Roman" w:eastAsia="Times New Roman" w:hAnsi="Times New Roman" w:cs="Times New Roman"/>
                <w:i/>
                <w:iCs/>
                <w:sz w:val="24"/>
                <w:szCs w:val="24"/>
              </w:rPr>
              <w:t>Pavona</w:t>
            </w:r>
            <w:proofErr w:type="spellEnd"/>
            <w:r w:rsidRPr="00965A78">
              <w:rPr>
                <w:rFonts w:ascii="Times New Roman" w:eastAsia="Times New Roman" w:hAnsi="Times New Roman" w:cs="Times New Roman"/>
                <w:i/>
                <w:iCs/>
                <w:sz w:val="24"/>
                <w:szCs w:val="24"/>
              </w:rPr>
              <w:t xml:space="preserve"> clavus</w:t>
            </w:r>
          </w:p>
        </w:tc>
        <w:tc>
          <w:tcPr>
            <w:tcW w:w="750"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785</w:t>
            </w:r>
          </w:p>
        </w:tc>
        <w:tc>
          <w:tcPr>
            <w:tcW w:w="1395"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22.0 %</w:t>
            </w:r>
          </w:p>
        </w:tc>
        <w:tc>
          <w:tcPr>
            <w:tcW w:w="810"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1.0</w:t>
            </w:r>
          </w:p>
        </w:tc>
        <w:tc>
          <w:tcPr>
            <w:tcW w:w="780"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7.0</w:t>
            </w:r>
          </w:p>
        </w:tc>
        <w:tc>
          <w:tcPr>
            <w:tcW w:w="885"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10.0</w:t>
            </w:r>
          </w:p>
        </w:tc>
        <w:tc>
          <w:tcPr>
            <w:tcW w:w="810"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450.0</w:t>
            </w:r>
          </w:p>
        </w:tc>
        <w:tc>
          <w:tcPr>
            <w:tcW w:w="825"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5.0</w:t>
            </w:r>
          </w:p>
        </w:tc>
        <w:tc>
          <w:tcPr>
            <w:tcW w:w="810"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300.0</w:t>
            </w:r>
          </w:p>
        </w:tc>
      </w:tr>
      <w:tr w:rsidR="009B2320" w:rsidRPr="00965A78">
        <w:trPr>
          <w:jc w:val="center"/>
        </w:trPr>
        <w:tc>
          <w:tcPr>
            <w:tcW w:w="2130" w:type="dxa"/>
          </w:tcPr>
          <w:p w:rsidR="009B2320" w:rsidRPr="00965A78" w:rsidRDefault="00000000" w:rsidP="00965A78">
            <w:pPr>
              <w:jc w:val="center"/>
              <w:rPr>
                <w:rFonts w:ascii="Times New Roman" w:eastAsia="Times New Roman" w:hAnsi="Times New Roman" w:cs="Times New Roman"/>
                <w:i/>
                <w:iCs/>
                <w:sz w:val="24"/>
                <w:szCs w:val="24"/>
              </w:rPr>
            </w:pPr>
            <w:proofErr w:type="spellStart"/>
            <w:r w:rsidRPr="00965A78">
              <w:rPr>
                <w:rFonts w:ascii="Times New Roman" w:eastAsia="Times New Roman" w:hAnsi="Times New Roman" w:cs="Times New Roman"/>
                <w:i/>
                <w:iCs/>
                <w:sz w:val="24"/>
                <w:szCs w:val="24"/>
              </w:rPr>
              <w:t>Pavona</w:t>
            </w:r>
            <w:proofErr w:type="spellEnd"/>
            <w:r w:rsidRPr="00965A78">
              <w:rPr>
                <w:rFonts w:ascii="Times New Roman" w:eastAsia="Times New Roman" w:hAnsi="Times New Roman" w:cs="Times New Roman"/>
                <w:i/>
                <w:iCs/>
                <w:sz w:val="24"/>
                <w:szCs w:val="24"/>
              </w:rPr>
              <w:t xml:space="preserve"> gigantea</w:t>
            </w:r>
          </w:p>
        </w:tc>
        <w:tc>
          <w:tcPr>
            <w:tcW w:w="750"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81</w:t>
            </w:r>
          </w:p>
        </w:tc>
        <w:tc>
          <w:tcPr>
            <w:tcW w:w="1395"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2.3 %</w:t>
            </w:r>
          </w:p>
        </w:tc>
        <w:tc>
          <w:tcPr>
            <w:tcW w:w="810"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3.0</w:t>
            </w:r>
          </w:p>
        </w:tc>
        <w:tc>
          <w:tcPr>
            <w:tcW w:w="780"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7.0</w:t>
            </w:r>
          </w:p>
        </w:tc>
        <w:tc>
          <w:tcPr>
            <w:tcW w:w="885"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13.0</w:t>
            </w:r>
          </w:p>
        </w:tc>
        <w:tc>
          <w:tcPr>
            <w:tcW w:w="810"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400.0</w:t>
            </w:r>
          </w:p>
        </w:tc>
        <w:tc>
          <w:tcPr>
            <w:tcW w:w="825"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10.0</w:t>
            </w:r>
          </w:p>
        </w:tc>
        <w:tc>
          <w:tcPr>
            <w:tcW w:w="810"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240.0</w:t>
            </w:r>
          </w:p>
        </w:tc>
      </w:tr>
      <w:tr w:rsidR="009B2320" w:rsidRPr="00965A78">
        <w:trPr>
          <w:jc w:val="center"/>
        </w:trPr>
        <w:tc>
          <w:tcPr>
            <w:tcW w:w="2130" w:type="dxa"/>
          </w:tcPr>
          <w:p w:rsidR="009B2320" w:rsidRPr="00965A78" w:rsidRDefault="00000000" w:rsidP="00965A78">
            <w:pPr>
              <w:jc w:val="center"/>
              <w:rPr>
                <w:rFonts w:ascii="Times New Roman" w:eastAsia="Times New Roman" w:hAnsi="Times New Roman" w:cs="Times New Roman"/>
                <w:i/>
                <w:iCs/>
                <w:sz w:val="24"/>
                <w:szCs w:val="24"/>
              </w:rPr>
            </w:pPr>
            <w:r w:rsidRPr="00965A78">
              <w:rPr>
                <w:rFonts w:ascii="Times New Roman" w:eastAsia="Times New Roman" w:hAnsi="Times New Roman" w:cs="Times New Roman"/>
                <w:i/>
                <w:iCs/>
                <w:sz w:val="24"/>
                <w:szCs w:val="24"/>
              </w:rPr>
              <w:t>Porites lobata</w:t>
            </w:r>
          </w:p>
        </w:tc>
        <w:tc>
          <w:tcPr>
            <w:tcW w:w="750"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65</w:t>
            </w:r>
          </w:p>
        </w:tc>
        <w:tc>
          <w:tcPr>
            <w:tcW w:w="1395"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1.8 %</w:t>
            </w:r>
          </w:p>
        </w:tc>
        <w:tc>
          <w:tcPr>
            <w:tcW w:w="810"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1.0</w:t>
            </w:r>
          </w:p>
        </w:tc>
        <w:tc>
          <w:tcPr>
            <w:tcW w:w="780"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4.5</w:t>
            </w:r>
          </w:p>
        </w:tc>
        <w:tc>
          <w:tcPr>
            <w:tcW w:w="885"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10.0</w:t>
            </w:r>
          </w:p>
        </w:tc>
        <w:tc>
          <w:tcPr>
            <w:tcW w:w="810"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410.0</w:t>
            </w:r>
          </w:p>
        </w:tc>
        <w:tc>
          <w:tcPr>
            <w:tcW w:w="825"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5.0</w:t>
            </w:r>
          </w:p>
        </w:tc>
        <w:tc>
          <w:tcPr>
            <w:tcW w:w="810"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130.0</w:t>
            </w:r>
          </w:p>
        </w:tc>
      </w:tr>
      <w:tr w:rsidR="009B2320" w:rsidRPr="00965A78">
        <w:trPr>
          <w:jc w:val="center"/>
        </w:trPr>
        <w:tc>
          <w:tcPr>
            <w:tcW w:w="2130" w:type="dxa"/>
          </w:tcPr>
          <w:p w:rsidR="009B2320" w:rsidRPr="00965A78" w:rsidRDefault="00000000" w:rsidP="00965A78">
            <w:pPr>
              <w:jc w:val="center"/>
              <w:rPr>
                <w:rFonts w:ascii="Times New Roman" w:eastAsia="Times New Roman" w:hAnsi="Times New Roman" w:cs="Times New Roman"/>
                <w:i/>
                <w:iCs/>
                <w:sz w:val="24"/>
                <w:szCs w:val="24"/>
              </w:rPr>
            </w:pPr>
            <w:proofErr w:type="spellStart"/>
            <w:r w:rsidRPr="00965A78">
              <w:rPr>
                <w:rFonts w:ascii="Times New Roman" w:eastAsia="Times New Roman" w:hAnsi="Times New Roman" w:cs="Times New Roman"/>
                <w:i/>
                <w:iCs/>
                <w:sz w:val="24"/>
                <w:szCs w:val="24"/>
              </w:rPr>
              <w:t>Pavona</w:t>
            </w:r>
            <w:proofErr w:type="spellEnd"/>
            <w:r w:rsidRPr="00965A78">
              <w:rPr>
                <w:rFonts w:ascii="Times New Roman" w:eastAsia="Times New Roman" w:hAnsi="Times New Roman" w:cs="Times New Roman"/>
                <w:i/>
                <w:iCs/>
                <w:sz w:val="24"/>
                <w:szCs w:val="24"/>
              </w:rPr>
              <w:t xml:space="preserve"> </w:t>
            </w:r>
            <w:proofErr w:type="spellStart"/>
            <w:r w:rsidRPr="00965A78">
              <w:rPr>
                <w:rFonts w:ascii="Times New Roman" w:eastAsia="Times New Roman" w:hAnsi="Times New Roman" w:cs="Times New Roman"/>
                <w:i/>
                <w:iCs/>
                <w:sz w:val="24"/>
                <w:szCs w:val="24"/>
              </w:rPr>
              <w:t>chiriquiensis</w:t>
            </w:r>
            <w:proofErr w:type="spellEnd"/>
          </w:p>
        </w:tc>
        <w:tc>
          <w:tcPr>
            <w:tcW w:w="750"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12</w:t>
            </w:r>
          </w:p>
        </w:tc>
        <w:tc>
          <w:tcPr>
            <w:tcW w:w="1395"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0.3 %</w:t>
            </w:r>
          </w:p>
        </w:tc>
        <w:tc>
          <w:tcPr>
            <w:tcW w:w="810"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0.5</w:t>
            </w:r>
          </w:p>
        </w:tc>
        <w:tc>
          <w:tcPr>
            <w:tcW w:w="780"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4.0</w:t>
            </w:r>
          </w:p>
        </w:tc>
        <w:tc>
          <w:tcPr>
            <w:tcW w:w="885"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48.0</w:t>
            </w:r>
          </w:p>
        </w:tc>
        <w:tc>
          <w:tcPr>
            <w:tcW w:w="810"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150.0</w:t>
            </w:r>
          </w:p>
        </w:tc>
        <w:tc>
          <w:tcPr>
            <w:tcW w:w="825"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34.0</w:t>
            </w:r>
          </w:p>
        </w:tc>
        <w:tc>
          <w:tcPr>
            <w:tcW w:w="810"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140.0</w:t>
            </w:r>
          </w:p>
        </w:tc>
      </w:tr>
    </w:tbl>
    <w:p w:rsidR="009B2320" w:rsidRPr="00965A78" w:rsidRDefault="009B2320" w:rsidP="00965A78">
      <w:pPr>
        <w:spacing w:after="0" w:line="240" w:lineRule="auto"/>
        <w:rPr>
          <w:rFonts w:ascii="Times New Roman" w:eastAsia="Times New Roman" w:hAnsi="Times New Roman" w:cs="Times New Roman"/>
          <w:sz w:val="24"/>
          <w:szCs w:val="24"/>
        </w:rPr>
      </w:pPr>
    </w:p>
    <w:p w:rsidR="009B2320" w:rsidRPr="00965A78" w:rsidRDefault="00000000" w:rsidP="00965A78">
      <w:pPr>
        <w:spacing w:after="0" w:line="240" w:lineRule="auto"/>
        <w:jc w:val="center"/>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shd w:val="clear" w:color="auto" w:fill="D9D2E9"/>
        </w:rPr>
        <w:t>APPENDIX 2</w:t>
      </w:r>
    </w:p>
    <w:p w:rsidR="009B2320" w:rsidRPr="00965A78" w:rsidRDefault="00000000" w:rsidP="00965A78">
      <w:pPr>
        <w:spacing w:after="0" w:line="240" w:lineRule="auto"/>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 xml:space="preserve">Fitness status of hermatypic coral colonies recorded during the baseline survey of November 2021 at Puerto </w:t>
      </w:r>
      <w:proofErr w:type="spellStart"/>
      <w:r w:rsidRPr="00965A78">
        <w:rPr>
          <w:rFonts w:ascii="Times New Roman" w:eastAsia="Times New Roman" w:hAnsi="Times New Roman" w:cs="Times New Roman"/>
          <w:sz w:val="24"/>
          <w:szCs w:val="24"/>
        </w:rPr>
        <w:t>Villamil</w:t>
      </w:r>
      <w:proofErr w:type="spellEnd"/>
      <w:r w:rsidRPr="00965A78">
        <w:rPr>
          <w:rFonts w:ascii="Times New Roman" w:eastAsia="Times New Roman" w:hAnsi="Times New Roman" w:cs="Times New Roman"/>
          <w:sz w:val="24"/>
          <w:szCs w:val="24"/>
        </w:rPr>
        <w:t>, Isabela Island, Galápagos Archipelago.</w:t>
      </w:r>
    </w:p>
    <w:tbl>
      <w:tblPr>
        <w:tblStyle w:val="a5"/>
        <w:tblW w:w="10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0"/>
        <w:gridCol w:w="1680"/>
        <w:gridCol w:w="1365"/>
        <w:gridCol w:w="1560"/>
        <w:gridCol w:w="1680"/>
        <w:gridCol w:w="2055"/>
      </w:tblGrid>
      <w:tr w:rsidR="009B2320" w:rsidRPr="00965A78">
        <w:trPr>
          <w:jc w:val="center"/>
        </w:trPr>
        <w:tc>
          <w:tcPr>
            <w:tcW w:w="2160" w:type="dxa"/>
            <w:vAlign w:val="center"/>
          </w:tcPr>
          <w:p w:rsidR="009B2320" w:rsidRPr="00965A78" w:rsidRDefault="00000000" w:rsidP="00965A78">
            <w:pPr>
              <w:jc w:val="center"/>
              <w:rPr>
                <w:rFonts w:ascii="Times New Roman" w:eastAsia="Times New Roman" w:hAnsi="Times New Roman" w:cs="Times New Roman"/>
                <w:b/>
                <w:bCs/>
                <w:sz w:val="24"/>
                <w:szCs w:val="24"/>
              </w:rPr>
            </w:pPr>
            <w:r w:rsidRPr="00965A78">
              <w:rPr>
                <w:rFonts w:ascii="Times New Roman" w:eastAsia="Times New Roman" w:hAnsi="Times New Roman" w:cs="Times New Roman"/>
                <w:b/>
                <w:bCs/>
                <w:sz w:val="24"/>
                <w:szCs w:val="24"/>
              </w:rPr>
              <w:t>Taxa</w:t>
            </w:r>
          </w:p>
        </w:tc>
        <w:tc>
          <w:tcPr>
            <w:tcW w:w="1680" w:type="dxa"/>
          </w:tcPr>
          <w:p w:rsidR="009B2320" w:rsidRPr="00965A78" w:rsidRDefault="00000000" w:rsidP="00965A78">
            <w:pPr>
              <w:jc w:val="center"/>
              <w:rPr>
                <w:rFonts w:ascii="Times New Roman" w:eastAsia="Times New Roman" w:hAnsi="Times New Roman" w:cs="Times New Roman"/>
                <w:b/>
                <w:bCs/>
                <w:sz w:val="24"/>
                <w:szCs w:val="24"/>
              </w:rPr>
            </w:pPr>
            <w:r w:rsidRPr="00965A78">
              <w:rPr>
                <w:rFonts w:ascii="Times New Roman" w:eastAsia="Times New Roman" w:hAnsi="Times New Roman" w:cs="Times New Roman"/>
                <w:b/>
                <w:bCs/>
                <w:sz w:val="24"/>
                <w:szCs w:val="24"/>
              </w:rPr>
              <w:t>Average* of Bleaching (%)</w:t>
            </w:r>
          </w:p>
        </w:tc>
        <w:tc>
          <w:tcPr>
            <w:tcW w:w="1365" w:type="dxa"/>
          </w:tcPr>
          <w:p w:rsidR="009B2320" w:rsidRPr="00965A78" w:rsidRDefault="00000000" w:rsidP="00965A78">
            <w:pPr>
              <w:jc w:val="center"/>
              <w:rPr>
                <w:rFonts w:ascii="Times New Roman" w:eastAsia="Times New Roman" w:hAnsi="Times New Roman" w:cs="Times New Roman"/>
                <w:b/>
                <w:bCs/>
                <w:sz w:val="24"/>
                <w:szCs w:val="24"/>
              </w:rPr>
            </w:pPr>
            <w:r w:rsidRPr="00965A78">
              <w:rPr>
                <w:rFonts w:ascii="Times New Roman" w:eastAsia="Times New Roman" w:hAnsi="Times New Roman" w:cs="Times New Roman"/>
                <w:b/>
                <w:bCs/>
                <w:sz w:val="24"/>
                <w:szCs w:val="24"/>
              </w:rPr>
              <w:t>Average* of Disease (%)</w:t>
            </w:r>
          </w:p>
        </w:tc>
        <w:tc>
          <w:tcPr>
            <w:tcW w:w="1560" w:type="dxa"/>
          </w:tcPr>
          <w:p w:rsidR="009B2320" w:rsidRPr="00965A78" w:rsidRDefault="00000000" w:rsidP="00965A78">
            <w:pPr>
              <w:jc w:val="center"/>
              <w:rPr>
                <w:rFonts w:ascii="Times New Roman" w:eastAsia="Times New Roman" w:hAnsi="Times New Roman" w:cs="Times New Roman"/>
                <w:b/>
                <w:bCs/>
                <w:sz w:val="24"/>
                <w:szCs w:val="24"/>
              </w:rPr>
            </w:pPr>
            <w:r w:rsidRPr="00965A78">
              <w:rPr>
                <w:rFonts w:ascii="Times New Roman" w:eastAsia="Times New Roman" w:hAnsi="Times New Roman" w:cs="Times New Roman"/>
                <w:b/>
                <w:bCs/>
                <w:sz w:val="24"/>
                <w:szCs w:val="24"/>
              </w:rPr>
              <w:t>Average* Parasites (%)</w:t>
            </w:r>
          </w:p>
        </w:tc>
        <w:tc>
          <w:tcPr>
            <w:tcW w:w="1680" w:type="dxa"/>
          </w:tcPr>
          <w:p w:rsidR="009B2320" w:rsidRPr="00965A78" w:rsidRDefault="00000000" w:rsidP="00965A78">
            <w:pPr>
              <w:jc w:val="center"/>
              <w:rPr>
                <w:rFonts w:ascii="Times New Roman" w:eastAsia="Times New Roman" w:hAnsi="Times New Roman" w:cs="Times New Roman"/>
                <w:b/>
                <w:bCs/>
                <w:sz w:val="24"/>
                <w:szCs w:val="24"/>
              </w:rPr>
            </w:pPr>
            <w:r w:rsidRPr="00965A78">
              <w:rPr>
                <w:rFonts w:ascii="Times New Roman" w:eastAsia="Times New Roman" w:hAnsi="Times New Roman" w:cs="Times New Roman"/>
                <w:b/>
                <w:bCs/>
                <w:sz w:val="24"/>
                <w:szCs w:val="24"/>
              </w:rPr>
              <w:t>Average* of Predation (%)</w:t>
            </w:r>
          </w:p>
        </w:tc>
        <w:tc>
          <w:tcPr>
            <w:tcW w:w="2055" w:type="dxa"/>
          </w:tcPr>
          <w:p w:rsidR="009B2320" w:rsidRPr="00965A78" w:rsidRDefault="00000000" w:rsidP="00965A78">
            <w:pPr>
              <w:jc w:val="center"/>
              <w:rPr>
                <w:rFonts w:ascii="Times New Roman" w:eastAsia="Times New Roman" w:hAnsi="Times New Roman" w:cs="Times New Roman"/>
                <w:b/>
                <w:bCs/>
                <w:sz w:val="24"/>
                <w:szCs w:val="24"/>
              </w:rPr>
            </w:pPr>
            <w:r w:rsidRPr="00965A78">
              <w:rPr>
                <w:rFonts w:ascii="Times New Roman" w:eastAsia="Times New Roman" w:hAnsi="Times New Roman" w:cs="Times New Roman"/>
                <w:b/>
                <w:bCs/>
                <w:sz w:val="24"/>
                <w:szCs w:val="24"/>
              </w:rPr>
              <w:t>Average* of Fragmentation (%)</w:t>
            </w:r>
          </w:p>
        </w:tc>
      </w:tr>
      <w:tr w:rsidR="009B2320" w:rsidRPr="00965A78">
        <w:trPr>
          <w:jc w:val="center"/>
        </w:trPr>
        <w:tc>
          <w:tcPr>
            <w:tcW w:w="2160" w:type="dxa"/>
          </w:tcPr>
          <w:p w:rsidR="009B2320" w:rsidRPr="00965A78" w:rsidRDefault="00000000" w:rsidP="00965A78">
            <w:pPr>
              <w:jc w:val="center"/>
              <w:rPr>
                <w:rFonts w:ascii="Times New Roman" w:eastAsia="Times New Roman" w:hAnsi="Times New Roman" w:cs="Times New Roman"/>
                <w:b/>
                <w:bCs/>
                <w:i/>
                <w:iCs/>
                <w:sz w:val="24"/>
                <w:szCs w:val="24"/>
              </w:rPr>
            </w:pPr>
            <w:proofErr w:type="spellStart"/>
            <w:r w:rsidRPr="00965A78">
              <w:rPr>
                <w:rFonts w:ascii="Times New Roman" w:eastAsia="Times New Roman" w:hAnsi="Times New Roman" w:cs="Times New Roman"/>
                <w:i/>
                <w:iCs/>
                <w:sz w:val="24"/>
                <w:szCs w:val="24"/>
              </w:rPr>
              <w:t>Pocillopora</w:t>
            </w:r>
            <w:proofErr w:type="spellEnd"/>
          </w:p>
        </w:tc>
        <w:tc>
          <w:tcPr>
            <w:tcW w:w="1680"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16.0</w:t>
            </w:r>
          </w:p>
        </w:tc>
        <w:tc>
          <w:tcPr>
            <w:tcW w:w="1365"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10.8</w:t>
            </w:r>
          </w:p>
        </w:tc>
        <w:tc>
          <w:tcPr>
            <w:tcW w:w="1560"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0.0</w:t>
            </w:r>
          </w:p>
        </w:tc>
        <w:tc>
          <w:tcPr>
            <w:tcW w:w="1680"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2.2</w:t>
            </w:r>
          </w:p>
        </w:tc>
        <w:tc>
          <w:tcPr>
            <w:tcW w:w="2055"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29.0</w:t>
            </w:r>
          </w:p>
        </w:tc>
      </w:tr>
      <w:tr w:rsidR="009B2320" w:rsidRPr="00965A78">
        <w:trPr>
          <w:jc w:val="center"/>
        </w:trPr>
        <w:tc>
          <w:tcPr>
            <w:tcW w:w="2160" w:type="dxa"/>
          </w:tcPr>
          <w:p w:rsidR="009B2320" w:rsidRPr="00965A78" w:rsidRDefault="00000000" w:rsidP="00965A78">
            <w:pPr>
              <w:jc w:val="center"/>
              <w:rPr>
                <w:rFonts w:ascii="Times New Roman" w:eastAsia="Times New Roman" w:hAnsi="Times New Roman" w:cs="Times New Roman"/>
                <w:i/>
                <w:iCs/>
                <w:sz w:val="24"/>
                <w:szCs w:val="24"/>
              </w:rPr>
            </w:pPr>
            <w:proofErr w:type="spellStart"/>
            <w:r w:rsidRPr="00965A78">
              <w:rPr>
                <w:rFonts w:ascii="Times New Roman" w:eastAsia="Times New Roman" w:hAnsi="Times New Roman" w:cs="Times New Roman"/>
                <w:i/>
                <w:iCs/>
                <w:sz w:val="24"/>
                <w:szCs w:val="24"/>
              </w:rPr>
              <w:t>Pavona</w:t>
            </w:r>
            <w:proofErr w:type="spellEnd"/>
            <w:r w:rsidRPr="00965A78">
              <w:rPr>
                <w:rFonts w:ascii="Times New Roman" w:eastAsia="Times New Roman" w:hAnsi="Times New Roman" w:cs="Times New Roman"/>
                <w:i/>
                <w:iCs/>
                <w:sz w:val="24"/>
                <w:szCs w:val="24"/>
              </w:rPr>
              <w:t xml:space="preserve"> clavus</w:t>
            </w:r>
          </w:p>
        </w:tc>
        <w:tc>
          <w:tcPr>
            <w:tcW w:w="1680"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1.6</w:t>
            </w:r>
          </w:p>
        </w:tc>
        <w:tc>
          <w:tcPr>
            <w:tcW w:w="1365"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29.8</w:t>
            </w:r>
          </w:p>
        </w:tc>
        <w:tc>
          <w:tcPr>
            <w:tcW w:w="1560"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4.1</w:t>
            </w:r>
          </w:p>
        </w:tc>
        <w:tc>
          <w:tcPr>
            <w:tcW w:w="1680"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0.5</w:t>
            </w:r>
          </w:p>
        </w:tc>
        <w:tc>
          <w:tcPr>
            <w:tcW w:w="2055"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0.0</w:t>
            </w:r>
          </w:p>
        </w:tc>
      </w:tr>
      <w:tr w:rsidR="009B2320" w:rsidRPr="00965A78">
        <w:trPr>
          <w:jc w:val="center"/>
        </w:trPr>
        <w:tc>
          <w:tcPr>
            <w:tcW w:w="2160" w:type="dxa"/>
          </w:tcPr>
          <w:p w:rsidR="009B2320" w:rsidRPr="00965A78" w:rsidRDefault="00000000" w:rsidP="00965A78">
            <w:pPr>
              <w:jc w:val="center"/>
              <w:rPr>
                <w:rFonts w:ascii="Times New Roman" w:eastAsia="Times New Roman" w:hAnsi="Times New Roman" w:cs="Times New Roman"/>
                <w:i/>
                <w:iCs/>
                <w:sz w:val="24"/>
                <w:szCs w:val="24"/>
              </w:rPr>
            </w:pPr>
            <w:proofErr w:type="spellStart"/>
            <w:r w:rsidRPr="00965A78">
              <w:rPr>
                <w:rFonts w:ascii="Times New Roman" w:eastAsia="Times New Roman" w:hAnsi="Times New Roman" w:cs="Times New Roman"/>
                <w:i/>
                <w:iCs/>
                <w:sz w:val="24"/>
                <w:szCs w:val="24"/>
              </w:rPr>
              <w:t>Pavona</w:t>
            </w:r>
            <w:proofErr w:type="spellEnd"/>
            <w:r w:rsidRPr="00965A78">
              <w:rPr>
                <w:rFonts w:ascii="Times New Roman" w:eastAsia="Times New Roman" w:hAnsi="Times New Roman" w:cs="Times New Roman"/>
                <w:i/>
                <w:iCs/>
                <w:sz w:val="24"/>
                <w:szCs w:val="24"/>
              </w:rPr>
              <w:t xml:space="preserve"> gigantea</w:t>
            </w:r>
          </w:p>
        </w:tc>
        <w:tc>
          <w:tcPr>
            <w:tcW w:w="1680"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0.6</w:t>
            </w:r>
          </w:p>
        </w:tc>
        <w:tc>
          <w:tcPr>
            <w:tcW w:w="1365"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21.5</w:t>
            </w:r>
          </w:p>
        </w:tc>
        <w:tc>
          <w:tcPr>
            <w:tcW w:w="1560"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6.4</w:t>
            </w:r>
          </w:p>
        </w:tc>
        <w:tc>
          <w:tcPr>
            <w:tcW w:w="1680"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1.2</w:t>
            </w:r>
          </w:p>
        </w:tc>
        <w:tc>
          <w:tcPr>
            <w:tcW w:w="2055"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2.4</w:t>
            </w:r>
          </w:p>
        </w:tc>
      </w:tr>
      <w:tr w:rsidR="009B2320" w:rsidRPr="00965A78">
        <w:trPr>
          <w:jc w:val="center"/>
        </w:trPr>
        <w:tc>
          <w:tcPr>
            <w:tcW w:w="2160" w:type="dxa"/>
          </w:tcPr>
          <w:p w:rsidR="009B2320" w:rsidRPr="00965A78" w:rsidRDefault="00000000" w:rsidP="00965A78">
            <w:pPr>
              <w:jc w:val="center"/>
              <w:rPr>
                <w:rFonts w:ascii="Times New Roman" w:eastAsia="Times New Roman" w:hAnsi="Times New Roman" w:cs="Times New Roman"/>
                <w:i/>
                <w:iCs/>
                <w:sz w:val="24"/>
                <w:szCs w:val="24"/>
              </w:rPr>
            </w:pPr>
            <w:r w:rsidRPr="00965A78">
              <w:rPr>
                <w:rFonts w:ascii="Times New Roman" w:eastAsia="Times New Roman" w:hAnsi="Times New Roman" w:cs="Times New Roman"/>
                <w:i/>
                <w:iCs/>
                <w:sz w:val="24"/>
                <w:szCs w:val="24"/>
              </w:rPr>
              <w:t>Porites lobata</w:t>
            </w:r>
          </w:p>
        </w:tc>
        <w:tc>
          <w:tcPr>
            <w:tcW w:w="1680"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20.6</w:t>
            </w:r>
          </w:p>
        </w:tc>
        <w:tc>
          <w:tcPr>
            <w:tcW w:w="1365"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15.4</w:t>
            </w:r>
          </w:p>
        </w:tc>
        <w:tc>
          <w:tcPr>
            <w:tcW w:w="1560"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16.1</w:t>
            </w:r>
          </w:p>
        </w:tc>
        <w:tc>
          <w:tcPr>
            <w:tcW w:w="1680"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5.4</w:t>
            </w:r>
          </w:p>
        </w:tc>
        <w:tc>
          <w:tcPr>
            <w:tcW w:w="2055" w:type="dxa"/>
          </w:tcPr>
          <w:p w:rsidR="009B2320" w:rsidRPr="00965A78" w:rsidRDefault="00000000" w:rsidP="00965A78">
            <w:pPr>
              <w:jc w:val="right"/>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0.0</w:t>
            </w:r>
          </w:p>
        </w:tc>
      </w:tr>
      <w:tr w:rsidR="009B2320" w:rsidRPr="00965A78">
        <w:trPr>
          <w:jc w:val="center"/>
        </w:trPr>
        <w:tc>
          <w:tcPr>
            <w:tcW w:w="2160" w:type="dxa"/>
          </w:tcPr>
          <w:p w:rsidR="009B2320" w:rsidRPr="00965A78" w:rsidRDefault="00000000" w:rsidP="00965A78">
            <w:pPr>
              <w:jc w:val="center"/>
              <w:rPr>
                <w:rFonts w:ascii="Times New Roman" w:eastAsia="Times New Roman" w:hAnsi="Times New Roman" w:cs="Times New Roman"/>
                <w:b/>
                <w:bCs/>
                <w:i/>
                <w:iCs/>
                <w:sz w:val="24"/>
                <w:szCs w:val="24"/>
              </w:rPr>
            </w:pPr>
            <w:proofErr w:type="spellStart"/>
            <w:r w:rsidRPr="00965A78">
              <w:rPr>
                <w:rFonts w:ascii="Times New Roman" w:eastAsia="Times New Roman" w:hAnsi="Times New Roman" w:cs="Times New Roman"/>
                <w:i/>
                <w:iCs/>
                <w:sz w:val="24"/>
                <w:szCs w:val="24"/>
              </w:rPr>
              <w:t>Pavona</w:t>
            </w:r>
            <w:proofErr w:type="spellEnd"/>
            <w:r w:rsidRPr="00965A78">
              <w:rPr>
                <w:rFonts w:ascii="Times New Roman" w:eastAsia="Times New Roman" w:hAnsi="Times New Roman" w:cs="Times New Roman"/>
                <w:i/>
                <w:iCs/>
                <w:sz w:val="24"/>
                <w:szCs w:val="24"/>
              </w:rPr>
              <w:t xml:space="preserve"> </w:t>
            </w:r>
            <w:proofErr w:type="spellStart"/>
            <w:r w:rsidRPr="00965A78">
              <w:rPr>
                <w:rFonts w:ascii="Times New Roman" w:eastAsia="Times New Roman" w:hAnsi="Times New Roman" w:cs="Times New Roman"/>
                <w:i/>
                <w:iCs/>
                <w:sz w:val="24"/>
                <w:szCs w:val="24"/>
              </w:rPr>
              <w:t>chiriquiensis</w:t>
            </w:r>
            <w:proofErr w:type="spellEnd"/>
          </w:p>
        </w:tc>
        <w:tc>
          <w:tcPr>
            <w:tcW w:w="1680"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0.0</w:t>
            </w:r>
          </w:p>
        </w:tc>
        <w:tc>
          <w:tcPr>
            <w:tcW w:w="1365"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0.0</w:t>
            </w:r>
          </w:p>
        </w:tc>
        <w:tc>
          <w:tcPr>
            <w:tcW w:w="1560"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8.0</w:t>
            </w:r>
          </w:p>
        </w:tc>
        <w:tc>
          <w:tcPr>
            <w:tcW w:w="1680"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0.0</w:t>
            </w:r>
          </w:p>
        </w:tc>
        <w:tc>
          <w:tcPr>
            <w:tcW w:w="2055" w:type="dxa"/>
          </w:tcPr>
          <w:p w:rsidR="009B2320" w:rsidRPr="00965A78" w:rsidRDefault="00000000" w:rsidP="00965A78">
            <w:pPr>
              <w:jc w:val="right"/>
              <w:rPr>
                <w:rFonts w:ascii="Times New Roman" w:eastAsia="Times New Roman" w:hAnsi="Times New Roman" w:cs="Times New Roman"/>
                <w:b/>
                <w:bCs/>
                <w:sz w:val="24"/>
                <w:szCs w:val="24"/>
              </w:rPr>
            </w:pPr>
            <w:r w:rsidRPr="00965A78">
              <w:rPr>
                <w:rFonts w:ascii="Times New Roman" w:eastAsia="Times New Roman" w:hAnsi="Times New Roman" w:cs="Times New Roman"/>
                <w:sz w:val="24"/>
                <w:szCs w:val="24"/>
              </w:rPr>
              <w:t>0.0</w:t>
            </w:r>
          </w:p>
        </w:tc>
      </w:tr>
    </w:tbl>
    <w:p w:rsidR="009B2320" w:rsidRPr="00965A78" w:rsidRDefault="00000000" w:rsidP="00965A78">
      <w:pPr>
        <w:spacing w:after="0" w:line="240" w:lineRule="auto"/>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*Averages were calculated on the upper range limits of scores; see text.</w:t>
      </w:r>
      <w:r w:rsidRPr="00965A78">
        <w:rPr>
          <w:rFonts w:ascii="Times New Roman" w:hAnsi="Times New Roman" w:cs="Times New Roman"/>
          <w:sz w:val="24"/>
          <w:szCs w:val="24"/>
        </w:rPr>
        <w:br w:type="page"/>
      </w:r>
    </w:p>
    <w:p w:rsidR="009B2320" w:rsidRPr="00965A78" w:rsidRDefault="00000000" w:rsidP="00965A78">
      <w:pPr>
        <w:spacing w:after="0" w:line="240" w:lineRule="auto"/>
        <w:jc w:val="center"/>
        <w:rPr>
          <w:rFonts w:ascii="Times New Roman" w:eastAsia="Times New Roman" w:hAnsi="Times New Roman" w:cs="Times New Roman"/>
          <w:sz w:val="24"/>
          <w:szCs w:val="24"/>
          <w:shd w:val="clear" w:color="auto" w:fill="D9D2E9"/>
        </w:rPr>
      </w:pPr>
      <w:r w:rsidRPr="00965A78">
        <w:rPr>
          <w:rFonts w:ascii="Times New Roman" w:eastAsia="Times New Roman" w:hAnsi="Times New Roman" w:cs="Times New Roman"/>
          <w:sz w:val="24"/>
          <w:szCs w:val="24"/>
          <w:shd w:val="clear" w:color="auto" w:fill="D9D2E9"/>
        </w:rPr>
        <w:lastRenderedPageBreak/>
        <w:t>APPENDIX 3</w:t>
      </w:r>
    </w:p>
    <w:p w:rsidR="009B2320" w:rsidRPr="00965A78" w:rsidRDefault="00000000" w:rsidP="00965A78">
      <w:pPr>
        <w:spacing w:after="0" w:line="240" w:lineRule="auto"/>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El Niño 1+2 SST Anomaly data from National Oceanic and Atmospheric Administration Climate Prediction Center (</w:t>
      </w:r>
      <w:proofErr w:type="spellStart"/>
      <w:r w:rsidRPr="00965A78">
        <w:rPr>
          <w:rFonts w:ascii="Times New Roman" w:eastAsia="Times New Roman" w:hAnsi="Times New Roman" w:cs="Times New Roman"/>
          <w:sz w:val="24"/>
          <w:szCs w:val="24"/>
        </w:rPr>
        <w:t>n.d</w:t>
      </w:r>
      <w:proofErr w:type="spellEnd"/>
      <w:r w:rsidRPr="00965A78">
        <w:rPr>
          <w:rFonts w:ascii="Times New Roman" w:eastAsia="Times New Roman" w:hAnsi="Times New Roman" w:cs="Times New Roman"/>
          <w:sz w:val="24"/>
          <w:szCs w:val="24"/>
        </w:rPr>
        <w:t>).</w:t>
      </w:r>
    </w:p>
    <w:tbl>
      <w:tblPr>
        <w:tblStyle w:val="a6"/>
        <w:tblW w:w="47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5"/>
        <w:gridCol w:w="1560"/>
        <w:gridCol w:w="1365"/>
      </w:tblGrid>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b/>
                <w:bCs/>
                <w:sz w:val="24"/>
                <w:szCs w:val="24"/>
              </w:rPr>
            </w:pPr>
            <w:r w:rsidRPr="00965A78">
              <w:rPr>
                <w:rFonts w:ascii="Times New Roman" w:eastAsia="Times New Roman" w:hAnsi="Times New Roman" w:cs="Times New Roman"/>
                <w:b/>
                <w:bCs/>
                <w:sz w:val="24"/>
                <w:szCs w:val="24"/>
              </w:rPr>
              <w:t>Date</w:t>
            </w:r>
          </w:p>
        </w:tc>
        <w:tc>
          <w:tcPr>
            <w:tcW w:w="1560" w:type="dxa"/>
          </w:tcPr>
          <w:p w:rsidR="009B2320" w:rsidRPr="00965A78" w:rsidRDefault="00000000" w:rsidP="00965A78">
            <w:pPr>
              <w:jc w:val="center"/>
              <w:rPr>
                <w:rFonts w:ascii="Times New Roman" w:eastAsia="Times New Roman" w:hAnsi="Times New Roman" w:cs="Times New Roman"/>
                <w:b/>
                <w:bCs/>
                <w:sz w:val="24"/>
                <w:szCs w:val="24"/>
              </w:rPr>
            </w:pPr>
            <w:r w:rsidRPr="00965A78">
              <w:rPr>
                <w:rFonts w:ascii="Times New Roman" w:eastAsia="Times New Roman" w:hAnsi="Times New Roman" w:cs="Times New Roman"/>
                <w:b/>
                <w:bCs/>
                <w:sz w:val="24"/>
                <w:szCs w:val="24"/>
              </w:rPr>
              <w:t>Index</w:t>
            </w:r>
          </w:p>
        </w:tc>
        <w:tc>
          <w:tcPr>
            <w:tcW w:w="1365" w:type="dxa"/>
          </w:tcPr>
          <w:p w:rsidR="009B2320" w:rsidRPr="00965A78" w:rsidRDefault="00000000" w:rsidP="00965A78">
            <w:pPr>
              <w:jc w:val="center"/>
              <w:rPr>
                <w:rFonts w:ascii="Times New Roman" w:eastAsia="Times New Roman" w:hAnsi="Times New Roman" w:cs="Times New Roman"/>
                <w:b/>
                <w:bCs/>
                <w:sz w:val="24"/>
                <w:szCs w:val="24"/>
              </w:rPr>
            </w:pPr>
            <w:r w:rsidRPr="00965A78">
              <w:rPr>
                <w:rFonts w:ascii="Times New Roman" w:eastAsia="Times New Roman" w:hAnsi="Times New Roman" w:cs="Times New Roman"/>
                <w:b/>
                <w:bCs/>
                <w:sz w:val="24"/>
                <w:szCs w:val="24"/>
              </w:rPr>
              <w:t>Phase</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2022-01-05</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-0.7</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2022-01-12</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-0.3</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Neutral</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2022-01-19</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-0.5</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Neutral</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2022-01-26</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-0.8</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2022-02-02</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-1.2</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2022-02-09</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-1.5</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2022-02-16</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-1.5</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2022-02-23</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-1.4</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2022-03-02</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-1.1</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2022-03-09</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-0.5</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Neutral</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2022-03-16</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0.0</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Neutral</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2022-03-23</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-0.5</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Neutral</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2022-03-30</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-0.8</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2022-04-06</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-1.0</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2022-04-13</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-1.7</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2022-04-20</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-1.9</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2022-04-27</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-1.9</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2022-05-04</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-1.5</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2022-05-11</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-1.4</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2022-05-18</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-1.5</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2022-05-25</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-1.1</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2022-06-01</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-0.6</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2022-06-08</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-1.6</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2022-06-15</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-1.6</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2022-06-22</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-1.4</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2022-06-29</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-1.4</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2022-07-06</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-1.2</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2022-07-13</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-1.2</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2022-07-20</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-1.0</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2022-07-27</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-0.9</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2022-08-03</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-0.6</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2022-08-10</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-0.5</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Neutral</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2022-08-17</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-0.8</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2022-08-24</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-0.5</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Neutral</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2022-08-31</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-0.4</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Neutral</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2022-09-07</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-0.9</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2022-09-14</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-0.8</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2022-09-21</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-1.0</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2022-09-28</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-1.7</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2022-10-05</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-1.6</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2022-10-12</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2022-10-19</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-1.4</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2022-10-26</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-1.8</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2022-11-02</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-1.8</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2022-11-09</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-1.4</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lastRenderedPageBreak/>
              <w:t>2022-11-16</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-1.3</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2022-11-23</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-1.7</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2022-11-30</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-0.5</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Neutral</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2022-12-07</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-0.7</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2022-12-14</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-0.1</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Neutral</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2022-12-21</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-0.1</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Neutral</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2022-12-28</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-0.3</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Neutral</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2023-01-04</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-0.8</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La Niña</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2023-01-11</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-0.2</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Neutral</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2023-01-18</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-0.3</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Neutral</w:t>
            </w:r>
          </w:p>
        </w:tc>
      </w:tr>
      <w:tr w:rsidR="009B2320" w:rsidRPr="00965A78">
        <w:trPr>
          <w:jc w:val="center"/>
        </w:trPr>
        <w:tc>
          <w:tcPr>
            <w:tcW w:w="181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2023-01-25</w:t>
            </w:r>
          </w:p>
        </w:tc>
        <w:tc>
          <w:tcPr>
            <w:tcW w:w="1560"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-0.2</w:t>
            </w:r>
          </w:p>
        </w:tc>
        <w:tc>
          <w:tcPr>
            <w:tcW w:w="1365" w:type="dxa"/>
          </w:tcPr>
          <w:p w:rsidR="009B2320" w:rsidRPr="00965A78" w:rsidRDefault="00000000" w:rsidP="00965A78">
            <w:pPr>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Neutral</w:t>
            </w:r>
          </w:p>
        </w:tc>
      </w:tr>
    </w:tbl>
    <w:p w:rsidR="009B2320" w:rsidRPr="00965A78" w:rsidRDefault="00000000" w:rsidP="00965A78">
      <w:pPr>
        <w:spacing w:after="0" w:line="240" w:lineRule="auto"/>
        <w:jc w:val="both"/>
        <w:rPr>
          <w:rFonts w:ascii="Times New Roman" w:eastAsia="Times New Roman" w:hAnsi="Times New Roman" w:cs="Times New Roman"/>
          <w:sz w:val="24"/>
          <w:szCs w:val="24"/>
        </w:rPr>
      </w:pPr>
      <w:r w:rsidRPr="00965A78">
        <w:rPr>
          <w:rFonts w:ascii="Times New Roman" w:hAnsi="Times New Roman" w:cs="Times New Roman"/>
          <w:sz w:val="24"/>
          <w:szCs w:val="24"/>
        </w:rPr>
        <w:br w:type="page"/>
      </w:r>
    </w:p>
    <w:p w:rsidR="009B2320" w:rsidRPr="00965A78" w:rsidRDefault="00000000" w:rsidP="00965A78">
      <w:pPr>
        <w:spacing w:after="0" w:line="240" w:lineRule="auto"/>
        <w:jc w:val="center"/>
        <w:rPr>
          <w:rFonts w:ascii="Times New Roman" w:eastAsia="Times New Roman" w:hAnsi="Times New Roman" w:cs="Times New Roman"/>
          <w:sz w:val="24"/>
          <w:szCs w:val="24"/>
          <w:shd w:val="clear" w:color="auto" w:fill="D9D2E9"/>
        </w:rPr>
      </w:pPr>
      <w:r w:rsidRPr="00965A78">
        <w:rPr>
          <w:rFonts w:ascii="Times New Roman" w:eastAsia="Times New Roman" w:hAnsi="Times New Roman" w:cs="Times New Roman"/>
          <w:sz w:val="24"/>
          <w:szCs w:val="24"/>
          <w:shd w:val="clear" w:color="auto" w:fill="D9D2E9"/>
        </w:rPr>
        <w:lastRenderedPageBreak/>
        <w:t>APPENDIX 4</w:t>
      </w:r>
    </w:p>
    <w:p w:rsidR="009B2320" w:rsidRPr="00965A78" w:rsidRDefault="00000000" w:rsidP="00965A78">
      <w:pPr>
        <w:spacing w:after="0" w:line="240" w:lineRule="auto"/>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 xml:space="preserve">Comparison of absolute growth rates between warm and cold seasons for each </w:t>
      </w:r>
      <w:proofErr w:type="spellStart"/>
      <w:r w:rsidRPr="00965A78">
        <w:rPr>
          <w:rFonts w:ascii="Times New Roman" w:eastAsia="Times New Roman" w:hAnsi="Times New Roman" w:cs="Times New Roman"/>
          <w:i/>
          <w:iCs/>
          <w:sz w:val="24"/>
          <w:szCs w:val="24"/>
        </w:rPr>
        <w:t>Pocillopora</w:t>
      </w:r>
      <w:proofErr w:type="spellEnd"/>
      <w:r w:rsidRPr="00965A78">
        <w:rPr>
          <w:rFonts w:ascii="Times New Roman" w:eastAsia="Times New Roman" w:hAnsi="Times New Roman" w:cs="Times New Roman"/>
          <w:i/>
          <w:iCs/>
          <w:sz w:val="24"/>
          <w:szCs w:val="24"/>
        </w:rPr>
        <w:t xml:space="preserve"> </w:t>
      </w:r>
      <w:r w:rsidRPr="00965A78">
        <w:rPr>
          <w:rFonts w:ascii="Times New Roman" w:eastAsia="Times New Roman" w:hAnsi="Times New Roman" w:cs="Times New Roman"/>
          <w:sz w:val="24"/>
          <w:szCs w:val="24"/>
        </w:rPr>
        <w:t xml:space="preserve">morphotype coral cultivated in the pilot nursery. </w:t>
      </w:r>
      <w:r w:rsidRPr="00965A78">
        <w:rPr>
          <w:rFonts w:ascii="Times New Roman" w:eastAsia="Times New Roman" w:hAnsi="Times New Roman" w:cs="Times New Roman"/>
          <w:color w:val="000000"/>
          <w:sz w:val="24"/>
          <w:szCs w:val="24"/>
        </w:rPr>
        <w:t>The warm season ran from January to May 2022, and the cold season from June to December 2022.</w:t>
      </w:r>
      <w:r w:rsidRPr="00965A78">
        <w:rPr>
          <w:rFonts w:ascii="Times New Roman" w:eastAsia="Times New Roman" w:hAnsi="Times New Roman" w:cs="Times New Roman"/>
          <w:noProof/>
          <w:sz w:val="24"/>
          <w:szCs w:val="24"/>
        </w:rPr>
        <w:drawing>
          <wp:inline distT="114300" distB="114300" distL="114300" distR="114300">
            <wp:extent cx="5659275" cy="4042339"/>
            <wp:effectExtent l="0" t="0" r="0" b="0"/>
            <wp:docPr id="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659275" cy="4042339"/>
                    </a:xfrm>
                    <a:prstGeom prst="rect">
                      <a:avLst/>
                    </a:prstGeom>
                    <a:ln/>
                  </pic:spPr>
                </pic:pic>
              </a:graphicData>
            </a:graphic>
          </wp:inline>
        </w:drawing>
      </w:r>
    </w:p>
    <w:p w:rsidR="009B2320" w:rsidRPr="00965A78" w:rsidRDefault="00000000" w:rsidP="00965A78">
      <w:pPr>
        <w:spacing w:after="0" w:line="240" w:lineRule="auto"/>
        <w:jc w:val="both"/>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Boxplots illustrate differences in absolute growth rates (AGR) based on coral planar area. See the main text for details on this growth rate. Statistical comparisons were conducted using paired t-tests, with significance levels indicated as follows: p &gt; 0.05 = ns, p &lt; 0.05 = *, p &lt;0.01 = **, p &lt; 0.001 = ***, p &lt; 0.0001 = ****.</w:t>
      </w:r>
      <w:r w:rsidRPr="00965A78">
        <w:rPr>
          <w:rFonts w:ascii="Times New Roman" w:hAnsi="Times New Roman" w:cs="Times New Roman"/>
          <w:sz w:val="24"/>
          <w:szCs w:val="24"/>
        </w:rPr>
        <w:br w:type="page"/>
      </w:r>
    </w:p>
    <w:p w:rsidR="009B2320" w:rsidRPr="00965A78" w:rsidRDefault="00000000" w:rsidP="00965A78">
      <w:pPr>
        <w:spacing w:after="0" w:line="240" w:lineRule="auto"/>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lastRenderedPageBreak/>
        <w:t>APPENDIX 5</w:t>
      </w:r>
    </w:p>
    <w:p w:rsidR="009B2320" w:rsidRPr="00965A78" w:rsidRDefault="00000000" w:rsidP="00965A78">
      <w:pPr>
        <w:spacing w:after="0" w:line="240" w:lineRule="auto"/>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 xml:space="preserve">Comparison of relative growth rates between warm and cold seasons for each </w:t>
      </w:r>
      <w:proofErr w:type="spellStart"/>
      <w:r w:rsidRPr="00965A78">
        <w:rPr>
          <w:rFonts w:ascii="Times New Roman" w:eastAsia="Times New Roman" w:hAnsi="Times New Roman" w:cs="Times New Roman"/>
          <w:i/>
          <w:iCs/>
          <w:sz w:val="24"/>
          <w:szCs w:val="24"/>
        </w:rPr>
        <w:t>Pocillopora</w:t>
      </w:r>
      <w:proofErr w:type="spellEnd"/>
      <w:r w:rsidRPr="00965A78">
        <w:rPr>
          <w:rFonts w:ascii="Times New Roman" w:eastAsia="Times New Roman" w:hAnsi="Times New Roman" w:cs="Times New Roman"/>
          <w:i/>
          <w:iCs/>
          <w:sz w:val="24"/>
          <w:szCs w:val="24"/>
        </w:rPr>
        <w:t xml:space="preserve"> </w:t>
      </w:r>
      <w:r w:rsidRPr="00965A78">
        <w:rPr>
          <w:rFonts w:ascii="Times New Roman" w:eastAsia="Times New Roman" w:hAnsi="Times New Roman" w:cs="Times New Roman"/>
          <w:sz w:val="24"/>
          <w:szCs w:val="24"/>
        </w:rPr>
        <w:t>coral morphotype</w:t>
      </w:r>
      <w:r w:rsidRPr="00965A78">
        <w:rPr>
          <w:rFonts w:ascii="Times New Roman" w:eastAsia="Times New Roman" w:hAnsi="Times New Roman" w:cs="Times New Roman"/>
          <w:i/>
          <w:iCs/>
          <w:sz w:val="24"/>
          <w:szCs w:val="24"/>
        </w:rPr>
        <w:t xml:space="preserve"> </w:t>
      </w:r>
      <w:r w:rsidRPr="00965A78">
        <w:rPr>
          <w:rFonts w:ascii="Times New Roman" w:eastAsia="Times New Roman" w:hAnsi="Times New Roman" w:cs="Times New Roman"/>
          <w:sz w:val="24"/>
          <w:szCs w:val="24"/>
        </w:rPr>
        <w:t xml:space="preserve">cultivated in the pilot nursery. </w:t>
      </w:r>
      <w:r w:rsidRPr="00965A78">
        <w:rPr>
          <w:rFonts w:ascii="Times New Roman" w:eastAsia="Times New Roman" w:hAnsi="Times New Roman" w:cs="Times New Roman"/>
          <w:color w:val="000000"/>
          <w:sz w:val="24"/>
          <w:szCs w:val="24"/>
        </w:rPr>
        <w:t>The warm season ran from January to May 2022, and the cold season from June to December 2022.</w:t>
      </w:r>
    </w:p>
    <w:p w:rsidR="009B2320" w:rsidRPr="00965A78" w:rsidRDefault="00000000" w:rsidP="00965A78">
      <w:pPr>
        <w:spacing w:after="0" w:line="240" w:lineRule="auto"/>
        <w:jc w:val="center"/>
        <w:rPr>
          <w:rFonts w:ascii="Times New Roman" w:eastAsia="Times New Roman" w:hAnsi="Times New Roman" w:cs="Times New Roman"/>
          <w:sz w:val="24"/>
          <w:szCs w:val="24"/>
        </w:rPr>
      </w:pPr>
      <w:r w:rsidRPr="00965A78">
        <w:rPr>
          <w:rFonts w:ascii="Times New Roman" w:eastAsia="Times New Roman" w:hAnsi="Times New Roman" w:cs="Times New Roman"/>
          <w:noProof/>
          <w:sz w:val="24"/>
          <w:szCs w:val="24"/>
        </w:rPr>
        <w:drawing>
          <wp:inline distT="114300" distB="114300" distL="114300" distR="114300">
            <wp:extent cx="4552873" cy="3253724"/>
            <wp:effectExtent l="0" t="0" r="0" b="0"/>
            <wp:docPr id="3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4552873" cy="3253724"/>
                    </a:xfrm>
                    <a:prstGeom prst="rect">
                      <a:avLst/>
                    </a:prstGeom>
                    <a:ln/>
                  </pic:spPr>
                </pic:pic>
              </a:graphicData>
            </a:graphic>
          </wp:inline>
        </w:drawing>
      </w:r>
    </w:p>
    <w:p w:rsidR="009B2320" w:rsidRPr="00965A78" w:rsidRDefault="00000000" w:rsidP="00965A78">
      <w:pPr>
        <w:spacing w:after="0" w:line="240" w:lineRule="auto"/>
        <w:jc w:val="both"/>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Boxplots illustrate differences in relative growth rates (RGR) based on coral planar area. See text the main text for details on this growth rate. Statistical comparisons were performed using paired t-tests, with significance levels indicated as follows: p &gt; 0.05 = ns, p &lt; 0.05 = *, p &lt;0.01 = **, p &lt; 0.001 = ***, p &lt; 0.0001 = ****.</w:t>
      </w:r>
      <w:r w:rsidRPr="00965A78">
        <w:rPr>
          <w:rFonts w:ascii="Times New Roman" w:hAnsi="Times New Roman" w:cs="Times New Roman"/>
          <w:sz w:val="24"/>
          <w:szCs w:val="24"/>
        </w:rPr>
        <w:br w:type="page"/>
      </w:r>
    </w:p>
    <w:p w:rsidR="009B2320" w:rsidRPr="00965A78" w:rsidRDefault="00000000" w:rsidP="00965A78">
      <w:pPr>
        <w:spacing w:after="0" w:line="240" w:lineRule="auto"/>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lastRenderedPageBreak/>
        <w:t>APPENDIX 6</w:t>
      </w:r>
    </w:p>
    <w:p w:rsidR="009B2320" w:rsidRPr="00965A78" w:rsidRDefault="00000000" w:rsidP="00965A78">
      <w:pPr>
        <w:spacing w:after="0" w:line="240" w:lineRule="auto"/>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 xml:space="preserve">Comparison of specific growth rates between warm and cold seasons for each </w:t>
      </w:r>
      <w:proofErr w:type="spellStart"/>
      <w:r w:rsidRPr="00965A78">
        <w:rPr>
          <w:rFonts w:ascii="Times New Roman" w:eastAsia="Times New Roman" w:hAnsi="Times New Roman" w:cs="Times New Roman"/>
          <w:i/>
          <w:iCs/>
          <w:sz w:val="24"/>
          <w:szCs w:val="24"/>
        </w:rPr>
        <w:t>Pocillopora</w:t>
      </w:r>
      <w:proofErr w:type="spellEnd"/>
      <w:r w:rsidRPr="00965A78">
        <w:rPr>
          <w:rFonts w:ascii="Times New Roman" w:eastAsia="Times New Roman" w:hAnsi="Times New Roman" w:cs="Times New Roman"/>
          <w:i/>
          <w:iCs/>
          <w:sz w:val="24"/>
          <w:szCs w:val="24"/>
        </w:rPr>
        <w:t xml:space="preserve"> </w:t>
      </w:r>
      <w:r w:rsidRPr="00965A78">
        <w:rPr>
          <w:rFonts w:ascii="Times New Roman" w:eastAsia="Times New Roman" w:hAnsi="Times New Roman" w:cs="Times New Roman"/>
          <w:sz w:val="24"/>
          <w:szCs w:val="24"/>
        </w:rPr>
        <w:t xml:space="preserve">morphotype coral cultivated in the pilot nursery. </w:t>
      </w:r>
      <w:r w:rsidRPr="00965A78">
        <w:rPr>
          <w:rFonts w:ascii="Times New Roman" w:eastAsia="Times New Roman" w:hAnsi="Times New Roman" w:cs="Times New Roman"/>
          <w:color w:val="000000"/>
          <w:sz w:val="24"/>
          <w:szCs w:val="24"/>
        </w:rPr>
        <w:t>The warm season ran from January to May 2022, and the cold season from June to December 2022.</w:t>
      </w:r>
    </w:p>
    <w:p w:rsidR="009B2320" w:rsidRPr="00965A78" w:rsidRDefault="00000000" w:rsidP="00965A78">
      <w:pPr>
        <w:spacing w:after="0" w:line="240" w:lineRule="auto"/>
        <w:jc w:val="center"/>
        <w:rPr>
          <w:rFonts w:ascii="Times New Roman" w:eastAsia="Times New Roman" w:hAnsi="Times New Roman" w:cs="Times New Roman"/>
          <w:sz w:val="24"/>
          <w:szCs w:val="24"/>
        </w:rPr>
      </w:pPr>
      <w:r w:rsidRPr="00965A78">
        <w:rPr>
          <w:rFonts w:ascii="Times New Roman" w:eastAsia="Times New Roman" w:hAnsi="Times New Roman" w:cs="Times New Roman"/>
          <w:noProof/>
          <w:sz w:val="24"/>
          <w:szCs w:val="24"/>
        </w:rPr>
        <w:drawing>
          <wp:inline distT="114300" distB="114300" distL="114300" distR="114300">
            <wp:extent cx="4585537" cy="3277129"/>
            <wp:effectExtent l="0" t="0" r="0" b="0"/>
            <wp:docPr id="3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0"/>
                    <a:srcRect/>
                    <a:stretch>
                      <a:fillRect/>
                    </a:stretch>
                  </pic:blipFill>
                  <pic:spPr>
                    <a:xfrm>
                      <a:off x="0" y="0"/>
                      <a:ext cx="4585537" cy="3277129"/>
                    </a:xfrm>
                    <a:prstGeom prst="rect">
                      <a:avLst/>
                    </a:prstGeom>
                    <a:ln/>
                  </pic:spPr>
                </pic:pic>
              </a:graphicData>
            </a:graphic>
          </wp:inline>
        </w:drawing>
      </w:r>
    </w:p>
    <w:p w:rsidR="009B2320" w:rsidRPr="00965A78" w:rsidRDefault="00000000" w:rsidP="00965A78">
      <w:pPr>
        <w:spacing w:after="0" w:line="240" w:lineRule="auto"/>
        <w:jc w:val="both"/>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Boxplots illustrate differences in specific growth rates (SGR) based on coral planar area. See the main text for details on this growth rate. Statistical comparisons were performed using paired t-tests, with significance levels indicated as follows: p &gt; 0.05 = ns, p &lt; 0.05 = *, p &lt;0.01 = **, p &lt; 0.001 = ***, p &lt; 0.0001 = ****.</w:t>
      </w:r>
      <w:r w:rsidRPr="00965A78">
        <w:rPr>
          <w:rFonts w:ascii="Times New Roman" w:hAnsi="Times New Roman" w:cs="Times New Roman"/>
          <w:sz w:val="24"/>
          <w:szCs w:val="24"/>
        </w:rPr>
        <w:br w:type="page"/>
      </w:r>
    </w:p>
    <w:p w:rsidR="009B2320" w:rsidRPr="00965A78" w:rsidRDefault="00000000" w:rsidP="00965A78">
      <w:pPr>
        <w:spacing w:after="0" w:line="240" w:lineRule="auto"/>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lastRenderedPageBreak/>
        <w:t>APPENDIX 7</w:t>
      </w:r>
    </w:p>
    <w:p w:rsidR="009B2320" w:rsidRPr="00965A78" w:rsidRDefault="00000000" w:rsidP="00965A78">
      <w:pPr>
        <w:spacing w:after="0" w:line="240" w:lineRule="auto"/>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 xml:space="preserve">Comparison of absolute, relative and specific coral growth rates based on maximum length (ML) between warm and cold seasons for all </w:t>
      </w:r>
      <w:proofErr w:type="spellStart"/>
      <w:r w:rsidRPr="00965A78">
        <w:rPr>
          <w:rFonts w:ascii="Times New Roman" w:eastAsia="Times New Roman" w:hAnsi="Times New Roman" w:cs="Times New Roman"/>
          <w:i/>
          <w:iCs/>
          <w:sz w:val="24"/>
          <w:szCs w:val="24"/>
        </w:rPr>
        <w:t>Pocillopora</w:t>
      </w:r>
      <w:proofErr w:type="spellEnd"/>
      <w:r w:rsidRPr="00965A78">
        <w:rPr>
          <w:rFonts w:ascii="Times New Roman" w:eastAsia="Times New Roman" w:hAnsi="Times New Roman" w:cs="Times New Roman"/>
          <w:sz w:val="24"/>
          <w:szCs w:val="24"/>
        </w:rPr>
        <w:t xml:space="preserve"> corals cultivated in the pilot nursery. </w:t>
      </w:r>
      <w:r w:rsidRPr="00965A78">
        <w:rPr>
          <w:rFonts w:ascii="Times New Roman" w:eastAsia="Times New Roman" w:hAnsi="Times New Roman" w:cs="Times New Roman"/>
          <w:color w:val="000000"/>
          <w:sz w:val="24"/>
          <w:szCs w:val="24"/>
        </w:rPr>
        <w:t>The warm season ran from January to May 2022, and the cold season from June to December 2022.</w:t>
      </w:r>
    </w:p>
    <w:p w:rsidR="009B2320" w:rsidRPr="00965A78" w:rsidRDefault="00000000" w:rsidP="00965A78">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965A78">
        <w:rPr>
          <w:rFonts w:ascii="Times New Roman" w:eastAsia="Times New Roman" w:hAnsi="Times New Roman" w:cs="Times New Roman"/>
          <w:noProof/>
          <w:sz w:val="24"/>
          <w:szCs w:val="24"/>
        </w:rPr>
        <w:drawing>
          <wp:inline distT="114300" distB="114300" distL="114300" distR="114300">
            <wp:extent cx="5399730" cy="2311400"/>
            <wp:effectExtent l="0" t="0" r="0" b="0"/>
            <wp:docPr id="3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399730" cy="2311400"/>
                    </a:xfrm>
                    <a:prstGeom prst="rect">
                      <a:avLst/>
                    </a:prstGeom>
                    <a:ln/>
                  </pic:spPr>
                </pic:pic>
              </a:graphicData>
            </a:graphic>
          </wp:inline>
        </w:drawing>
      </w:r>
    </w:p>
    <w:p w:rsidR="009B2320" w:rsidRPr="00965A78" w:rsidRDefault="00000000" w:rsidP="00965A78">
      <w:pPr>
        <w:spacing w:after="0" w:line="240" w:lineRule="auto"/>
        <w:jc w:val="both"/>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Boxplots illustrate differences in absolute growth rate (AGR), relative growth rate (RGR), and specific growth rate (SGR) based on coral maximum length (ML). See text for detailed descriptions on these rates. Statistical comparisons were conducted using paired t-tests, with significance levels indicated as follows: p &lt; 0.05 = *, p &lt; 0.0001 = ****.</w:t>
      </w:r>
      <w:r w:rsidRPr="00965A78">
        <w:rPr>
          <w:rFonts w:ascii="Times New Roman" w:hAnsi="Times New Roman" w:cs="Times New Roman"/>
          <w:sz w:val="24"/>
          <w:szCs w:val="24"/>
        </w:rPr>
        <w:br w:type="page"/>
      </w:r>
    </w:p>
    <w:p w:rsidR="009B2320" w:rsidRPr="00965A78" w:rsidRDefault="00000000" w:rsidP="00965A78">
      <w:pPr>
        <w:spacing w:after="0" w:line="240" w:lineRule="auto"/>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lastRenderedPageBreak/>
        <w:t>APPENDIX 8</w:t>
      </w:r>
    </w:p>
    <w:p w:rsidR="009B2320" w:rsidRPr="00965A78" w:rsidRDefault="00000000" w:rsidP="00965A78">
      <w:pPr>
        <w:spacing w:after="0" w:line="240" w:lineRule="auto"/>
        <w:jc w:val="center"/>
        <w:rPr>
          <w:rFonts w:ascii="Times New Roman" w:eastAsia="Times New Roman" w:hAnsi="Times New Roman" w:cs="Times New Roman"/>
          <w:sz w:val="24"/>
          <w:szCs w:val="24"/>
        </w:rPr>
      </w:pPr>
      <w:r w:rsidRPr="00965A78">
        <w:rPr>
          <w:rFonts w:ascii="Times New Roman" w:eastAsia="Times New Roman" w:hAnsi="Times New Roman" w:cs="Times New Roman"/>
          <w:sz w:val="24"/>
          <w:szCs w:val="24"/>
        </w:rPr>
        <w:t xml:space="preserve">Cohen’s d effect sizes for differences in coral growth rates between warm and cold seasons in </w:t>
      </w:r>
      <w:proofErr w:type="spellStart"/>
      <w:r w:rsidRPr="00965A78">
        <w:rPr>
          <w:rFonts w:ascii="Times New Roman" w:eastAsia="Times New Roman" w:hAnsi="Times New Roman" w:cs="Times New Roman"/>
          <w:i/>
          <w:iCs/>
          <w:sz w:val="24"/>
          <w:szCs w:val="24"/>
        </w:rPr>
        <w:t>Pocillopora</w:t>
      </w:r>
      <w:proofErr w:type="spellEnd"/>
      <w:r w:rsidRPr="00965A78">
        <w:rPr>
          <w:rFonts w:ascii="Times New Roman" w:eastAsia="Times New Roman" w:hAnsi="Times New Roman" w:cs="Times New Roman"/>
          <w:sz w:val="24"/>
          <w:szCs w:val="24"/>
        </w:rPr>
        <w:t xml:space="preserve"> morphotypes cultivated in the pilot nursery. </w:t>
      </w:r>
      <w:r w:rsidRPr="00965A78">
        <w:rPr>
          <w:rFonts w:ascii="Times New Roman" w:eastAsia="Times New Roman" w:hAnsi="Times New Roman" w:cs="Times New Roman"/>
          <w:color w:val="000000"/>
          <w:sz w:val="24"/>
          <w:szCs w:val="24"/>
        </w:rPr>
        <w:t>The warm season ran from January to May 2022, and the cold season from June to December 2022.</w:t>
      </w:r>
    </w:p>
    <w:p w:rsidR="009B2320" w:rsidRPr="00965A78" w:rsidRDefault="00000000" w:rsidP="00965A78">
      <w:pPr>
        <w:spacing w:after="0" w:line="240" w:lineRule="auto"/>
        <w:jc w:val="both"/>
        <w:rPr>
          <w:rFonts w:ascii="Times New Roman" w:eastAsia="Times New Roman" w:hAnsi="Times New Roman" w:cs="Times New Roman"/>
          <w:sz w:val="24"/>
          <w:szCs w:val="24"/>
        </w:rPr>
      </w:pPr>
      <w:r w:rsidRPr="00965A78">
        <w:rPr>
          <w:rFonts w:ascii="Times New Roman" w:eastAsia="Times New Roman" w:hAnsi="Times New Roman" w:cs="Times New Roman"/>
          <w:noProof/>
          <w:sz w:val="24"/>
          <w:szCs w:val="24"/>
        </w:rPr>
        <w:drawing>
          <wp:inline distT="114300" distB="114300" distL="114300" distR="114300">
            <wp:extent cx="4590098" cy="3667221"/>
            <wp:effectExtent l="0" t="0" r="0" b="0"/>
            <wp:docPr id="3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4590098" cy="3667221"/>
                    </a:xfrm>
                    <a:prstGeom prst="rect">
                      <a:avLst/>
                    </a:prstGeom>
                    <a:ln/>
                  </pic:spPr>
                </pic:pic>
              </a:graphicData>
            </a:graphic>
          </wp:inline>
        </w:drawing>
      </w:r>
    </w:p>
    <w:p w:rsidR="00965A78" w:rsidRPr="00965A78" w:rsidRDefault="00965A78" w:rsidP="00965A78">
      <w:pPr>
        <w:pStyle w:val="038-Subttulo0303-DESARROLLOARTICULO"/>
        <w:spacing w:line="240" w:lineRule="auto"/>
        <w:jc w:val="both"/>
        <w:rPr>
          <w:rFonts w:ascii="Times New Roman" w:hAnsi="Times New Roman" w:cs="Times New Roman"/>
          <w:i w:val="0"/>
          <w:iCs w:val="0"/>
          <w:sz w:val="24"/>
          <w:szCs w:val="24"/>
          <w:lang w:val="en-US"/>
        </w:rPr>
      </w:pPr>
      <w:r w:rsidRPr="00965A78">
        <w:rPr>
          <w:rFonts w:ascii="Times New Roman" w:hAnsi="Times New Roman" w:cs="Times New Roman"/>
          <w:i w:val="0"/>
          <w:iCs w:val="0"/>
          <w:sz w:val="24"/>
          <w:szCs w:val="24"/>
          <w:lang w:val="en-US"/>
        </w:rPr>
        <w:t>Positive (red) values indicate higher growth rates during the warm season, whereas negative (blue) values indicate higher growth during the cold season. Effect sizes are shown for absolute growth rate (AGR), relative growth rate (RGR), and specific growth rate (SGR) based on coral maximum length (ML). See text for detailed descriptions on these rates. According to standard thresholds, d ≈ 0.2 indicates a small effect, 0.5 a moderate effect, and ≥ 0.8 a strong effect.</w:t>
      </w:r>
    </w:p>
    <w:sectPr w:rsidR="00965A78" w:rsidRPr="00965A78" w:rsidSect="004155A0">
      <w:headerReference w:type="default" r:id="rId13"/>
      <w:footerReference w:type="even" r:id="rId14"/>
      <w:footerReference w:type="default" r:id="rId15"/>
      <w:pgSz w:w="11906" w:h="16838"/>
      <w:pgMar w:top="1418" w:right="1418" w:bottom="1418" w:left="1418" w:header="567"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C7EE9" w:rsidRDefault="005C7EE9">
      <w:pPr>
        <w:spacing w:after="0" w:line="240" w:lineRule="auto"/>
      </w:pPr>
      <w:r>
        <w:separator/>
      </w:r>
    </w:p>
  </w:endnote>
  <w:endnote w:type="continuationSeparator" w:id="0">
    <w:p w:rsidR="005C7EE9" w:rsidRDefault="005C7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78CF72FB-95DB-034C-B7C5-A3172B743472}"/>
    <w:embedBold r:id="rId2" w:fontKey="{C4BC45B9-8FB8-904E-A313-029422A8F79A}"/>
    <w:embedItalic r:id="rId3" w:fontKey="{5DB61DA6-5909-6147-8E2B-44A372CE1BC0}"/>
  </w:font>
  <w:font w:name="Times New Roman">
    <w:panose1 w:val="02020603050405020304"/>
    <w:charset w:val="00"/>
    <w:family w:val="roman"/>
    <w:pitch w:val="variable"/>
    <w:sig w:usb0="E0002EFF" w:usb1="C000785B" w:usb2="00000009" w:usb3="00000000" w:csb0="000001FF" w:csb1="00000000"/>
    <w:embedRegular r:id="rId4" w:fontKey="{7CC35586-AAD9-484E-AEEB-009400CB1D71}"/>
    <w:embedBold r:id="rId5" w:fontKey="{76EE1199-302A-DB4A-A7BA-342F8D5A5669}"/>
    <w:embedItalic r:id="rId6" w:fontKey="{C652AE22-7DCA-4742-A03A-777AF8F36064}"/>
    <w:embedBoldItalic r:id="rId7" w:fontKey="{CED4C2CC-E83A-8443-A710-EC5E7BC6EB6A}"/>
  </w:font>
  <w:font w:name="Georgia">
    <w:panose1 w:val="02040502050405020303"/>
    <w:charset w:val="00"/>
    <w:family w:val="roman"/>
    <w:pitch w:val="variable"/>
    <w:sig w:usb0="00000287" w:usb1="00000000" w:usb2="00000000" w:usb3="00000000" w:csb0="0000009F" w:csb1="00000000"/>
    <w:embedItalic r:id="rId8" w:fontKey="{7E27523D-1404-3448-9A3C-14F9C0C5F874}"/>
  </w:font>
  <w:font w:name="MinionPro-It">
    <w:altName w:val="Calibri"/>
    <w:panose1 w:val="020B0604020202020204"/>
    <w:charset w:val="4D"/>
    <w:family w:val="auto"/>
    <w:notTrueType/>
    <w:pitch w:val="default"/>
    <w:sig w:usb0="00000003" w:usb1="00000000" w:usb2="00000000" w:usb3="00000000" w:csb0="00000001" w:csb1="00000000"/>
  </w:font>
  <w:font w:name="Avenir">
    <w:altName w:val="Calibri"/>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11" w:fontKey="{A1A17E5B-5F55-614F-8728-FD11E311C1B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20"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9B2320" w:rsidRDefault="009B2320">
    <w:pPr>
      <w:pBdr>
        <w:top w:val="nil"/>
        <w:left w:val="nil"/>
        <w:bottom w:val="nil"/>
        <w:right w:val="nil"/>
        <w:between w:val="nil"/>
      </w:pBdr>
      <w:tabs>
        <w:tab w:val="center" w:pos="4252"/>
        <w:tab w:val="right" w:pos="8504"/>
      </w:tabs>
      <w:spacing w:after="0" w:line="240" w:lineRule="auto"/>
      <w:ind w:right="360"/>
      <w:jc w:val="right"/>
      <w:rPr>
        <w:color w:val="000000"/>
      </w:rPr>
    </w:pPr>
  </w:p>
  <w:p w:rsidR="009B2320" w:rsidRDefault="009B2320">
    <w:pPr>
      <w:pBdr>
        <w:top w:val="nil"/>
        <w:left w:val="nil"/>
        <w:bottom w:val="nil"/>
        <w:right w:val="nil"/>
        <w:between w:val="nil"/>
      </w:pBdr>
      <w:tabs>
        <w:tab w:val="center" w:pos="4252"/>
        <w:tab w:val="right" w:pos="8504"/>
      </w:tabs>
      <w:spacing w:after="0" w:line="240" w:lineRule="auto"/>
      <w:ind w:right="360"/>
      <w:jc w:val="center"/>
      <w:rPr>
        <w:color w:val="000000"/>
      </w:rPr>
    </w:pPr>
  </w:p>
  <w:p w:rsidR="009B2320" w:rsidRDefault="009B2320">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20" w:rsidRDefault="009B2320">
    <w:pPr>
      <w:tabs>
        <w:tab w:val="center" w:pos="4252"/>
        <w:tab w:val="right" w:pos="8504"/>
      </w:tabs>
      <w:spacing w:after="0" w:line="360" w:lineRule="auto"/>
      <w:ind w:left="566"/>
      <w:jc w:val="both"/>
      <w:rPr>
        <w:rFonts w:ascii="Times New Roman" w:eastAsia="Times New Roman" w:hAnsi="Times New Roman" w:cs="Times New Roman"/>
        <w:sz w:val="24"/>
        <w:szCs w:val="24"/>
      </w:rPr>
    </w:pPr>
  </w:p>
  <w:p w:rsidR="009B2320" w:rsidRDefault="009B2320">
    <w:pPr>
      <w:pBdr>
        <w:top w:val="nil"/>
        <w:left w:val="nil"/>
        <w:bottom w:val="nil"/>
        <w:right w:val="nil"/>
        <w:between w:val="nil"/>
      </w:pBdr>
      <w:tabs>
        <w:tab w:val="center" w:pos="4252"/>
        <w:tab w:val="right" w:pos="8504"/>
      </w:tabs>
      <w:spacing w:after="0" w:line="240" w:lineRule="auto"/>
      <w:ind w:right="360"/>
      <w:rPr>
        <w:rFonts w:ascii="Times New Roman" w:eastAsia="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C7EE9" w:rsidRDefault="005C7EE9">
      <w:pPr>
        <w:spacing w:after="0" w:line="240" w:lineRule="auto"/>
      </w:pPr>
      <w:r>
        <w:separator/>
      </w:r>
    </w:p>
  </w:footnote>
  <w:footnote w:type="continuationSeparator" w:id="0">
    <w:p w:rsidR="005C7EE9" w:rsidRDefault="005C7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20" w:rsidRDefault="009B2320">
    <w:pPr>
      <w:pBdr>
        <w:top w:val="nil"/>
        <w:left w:val="nil"/>
        <w:bottom w:val="nil"/>
        <w:right w:val="nil"/>
        <w:between w:val="nil"/>
      </w:pBdr>
      <w:spacing w:after="0" w:line="288" w:lineRule="auto"/>
      <w:rPr>
        <w:rFonts w:ascii="Avenir" w:eastAsia="Avenir" w:hAnsi="Avenir" w:cs="Avenir"/>
        <w:color w:val="000000"/>
        <w:sz w:val="15"/>
        <w:szCs w:val="15"/>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320"/>
    <w:rsid w:val="003D0048"/>
    <w:rsid w:val="004155A0"/>
    <w:rsid w:val="005C7EE9"/>
    <w:rsid w:val="00965A78"/>
    <w:rsid w:val="009852AB"/>
    <w:rsid w:val="009B2320"/>
  </w:rsids>
  <m:mathPr>
    <m:mathFont m:val="Cambria Math"/>
    <m:brkBin m:val="before"/>
    <m:brkBinSub m:val="--"/>
    <m:smallFrac m:val="0"/>
    <m:dispDef/>
    <m:lMargin m:val="0"/>
    <m:rMargin m:val="0"/>
    <m:defJc m:val="centerGroup"/>
    <m:wrapIndent m:val="1440"/>
    <m:intLim m:val="subSup"/>
    <m:naryLim m:val="undOvr"/>
  </m:mathPr>
  <w:themeFontLang w:val="en-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7C1AD"/>
  <w15:docId w15:val="{1C1B2AF4-E37F-8E44-ADF8-12F2638BB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1"/>
    <w:pPr>
      <w:spacing w:after="0" w:line="240" w:lineRule="auto"/>
    </w:p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706E23"/>
  </w:style>
  <w:style w:type="character" w:styleId="Hyperlink">
    <w:name w:val="Hyperlink"/>
    <w:basedOn w:val="DefaultParagraphFont"/>
    <w:uiPriority w:val="99"/>
    <w:unhideWhenUsed/>
    <w:rsid w:val="000D5CE7"/>
    <w:rPr>
      <w:color w:val="0000FF" w:themeColor="hyperlink"/>
      <w:u w:val="single"/>
    </w:rPr>
  </w:style>
  <w:style w:type="character" w:styleId="UnresolvedMention">
    <w:name w:val="Unresolved Mention"/>
    <w:basedOn w:val="DefaultParagraphFont"/>
    <w:uiPriority w:val="99"/>
    <w:semiHidden/>
    <w:unhideWhenUsed/>
    <w:rsid w:val="000D5CE7"/>
    <w:rPr>
      <w:color w:val="605E5C"/>
      <w:shd w:val="clear" w:color="auto" w:fill="E1DFDD"/>
    </w:rPr>
  </w:style>
  <w:style w:type="paragraph" w:styleId="Footer">
    <w:name w:val="footer"/>
    <w:basedOn w:val="Normal"/>
    <w:link w:val="FooterChar"/>
    <w:uiPriority w:val="99"/>
    <w:semiHidden/>
    <w:unhideWhenUsed/>
    <w:rsid w:val="00AB03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B03B0"/>
  </w:style>
  <w:style w:type="character" w:styleId="PageNumber">
    <w:name w:val="page number"/>
    <w:basedOn w:val="DefaultParagraphFont"/>
    <w:uiPriority w:val="99"/>
    <w:semiHidden/>
    <w:unhideWhenUsed/>
    <w:rsid w:val="00AB03B0"/>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paragraph" w:customStyle="1" w:styleId="038-Subttulo0303-DESARROLLOARTICULO">
    <w:name w:val="03.8-Subtítulo 03 (03-DESARROLLO ARTICULO)"/>
    <w:basedOn w:val="Normal"/>
    <w:uiPriority w:val="99"/>
    <w:rsid w:val="009852AB"/>
    <w:pPr>
      <w:suppressAutoHyphens/>
      <w:autoSpaceDE w:val="0"/>
      <w:autoSpaceDN w:val="0"/>
      <w:adjustRightInd w:val="0"/>
      <w:spacing w:before="180" w:after="180" w:line="240" w:lineRule="atLeast"/>
      <w:textAlignment w:val="baseline"/>
    </w:pPr>
    <w:rPr>
      <w:rFonts w:ascii="MinionPro-It" w:hAnsi="MinionPro-It" w:cs="MinionPro-It"/>
      <w:i/>
      <w:iCs/>
      <w:color w:val="000000"/>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TAsWIEowz1PyzbcHudV4EUdujg==">CgMxLjAaJQoBMBIgCh4IB0IaCg9UaW1lcyBOZXcgUm9tYW4SB0d1bmdzdWgaJQoBMRIgCh4IB0IaCg9UaW1lcyBOZXcgUm9tYW4SB0d1bmdzdWg4AHIhMUZDbjlyTnBtWWszaHEtdU53cXN1T3hZTEJMSWYxZmZS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42339BC-F480-944B-BEED-E23B77D39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860</Words>
  <Characters>4908</Characters>
  <Application>Microsoft Office Word</Application>
  <DocSecurity>0</DocSecurity>
  <Lines>40</Lines>
  <Paragraphs>11</Paragraphs>
  <ScaleCrop>false</ScaleCrop>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cp:revision>
  <cp:lastPrinted>2026-06-10T21:28:00Z</cp:lastPrinted>
  <dcterms:created xsi:type="dcterms:W3CDTF">2026-06-10T21:33:00Z</dcterms:created>
  <dcterms:modified xsi:type="dcterms:W3CDTF">2026-06-10T21:35:00Z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http://www.zotero.org/styles/journal-of-zoology</vt:lpwstr>
  </property>
  <property fmtid="{D5CDD505-2E9C-101B-9397-08002B2CF9AE}" pid="9" name="Mendeley Recent Style Name 3_1">
    <vt:lpwstr>Journal of Zoology</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http://www.zotero.org/styles/parasitology-research</vt:lpwstr>
  </property>
  <property fmtid="{D5CDD505-2E9C-101B-9397-08002B2CF9AE}" pid="17" name="Mendeley Recent Style Name 7_1">
    <vt:lpwstr>Parasitology Research</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http://www.zotero.org/styles/zoological-studies</vt:lpwstr>
  </property>
  <property fmtid="{D5CDD505-2E9C-101B-9397-08002B2CF9AE}" pid="21" name="Mendeley Recent Style Name 9_1">
    <vt:lpwstr>Zoological Studies</vt:lpwstr>
  </property>
  <property fmtid="{D5CDD505-2E9C-101B-9397-08002B2CF9AE}" pid="22" name="Mendeley Document_1">
    <vt:lpwstr>True</vt:lpwstr>
  </property>
  <property fmtid="{D5CDD505-2E9C-101B-9397-08002B2CF9AE}" pid="23" name="Mendeley Unique User Id_1">
    <vt:lpwstr>0b5f3a45-6b90-38f7-8f92-d09c68827cb0</vt:lpwstr>
  </property>
  <property fmtid="{D5CDD505-2E9C-101B-9397-08002B2CF9AE}" pid="24" name="Mendeley Citation Style_1">
    <vt:lpwstr>http://www.zotero.org/styles/journal-of-zoology</vt:lpwstr>
  </property>
  <property fmtid="{D5CDD505-2E9C-101B-9397-08002B2CF9AE}" pid="25" name="ZOTERO_PREF_1">
    <vt:lpwstr>&lt;data data-version="3" zotero-version="6.0.30"&gt;&lt;session id="TmXkSENm"/&gt;&lt;style id="http://www.zotero.org/styles/apa" locale="pt-BR" hasBibliography="1" bibliographyStyleHasBeenSet="1"/&gt;&lt;prefs&gt;&lt;pref name="fieldType" value="Field"/&gt;&lt;/prefs&gt;&lt;/data&gt;</vt:lpwstr>
  </property>
  <property fmtid="{D5CDD505-2E9C-101B-9397-08002B2CF9AE}" pid="26" name="MSIP_Label_defa4170-0d19-0005-0004-bc88714345d2_Enabled">
    <vt:lpwstr>true</vt:lpwstr>
  </property>
  <property fmtid="{D5CDD505-2E9C-101B-9397-08002B2CF9AE}" pid="27" name="MSIP_Label_defa4170-0d19-0005-0004-bc88714345d2_SetDate">
    <vt:lpwstr>2024-04-10T13:15:24Z</vt:lpwstr>
  </property>
  <property fmtid="{D5CDD505-2E9C-101B-9397-08002B2CF9AE}" pid="28" name="MSIP_Label_defa4170-0d19-0005-0004-bc88714345d2_Method">
    <vt:lpwstr>Standard</vt:lpwstr>
  </property>
  <property fmtid="{D5CDD505-2E9C-101B-9397-08002B2CF9AE}" pid="29" name="MSIP_Label_defa4170-0d19-0005-0004-bc88714345d2_Name">
    <vt:lpwstr>defa4170-0d19-0005-0004-bc88714345d2</vt:lpwstr>
  </property>
  <property fmtid="{D5CDD505-2E9C-101B-9397-08002B2CF9AE}" pid="30" name="MSIP_Label_defa4170-0d19-0005-0004-bc88714345d2_SiteId">
    <vt:lpwstr>e609c827-2041-480e-bf39-ce68700693b5</vt:lpwstr>
  </property>
  <property fmtid="{D5CDD505-2E9C-101B-9397-08002B2CF9AE}" pid="31" name="MSIP_Label_defa4170-0d19-0005-0004-bc88714345d2_ActionId">
    <vt:lpwstr>8ee95fcf-3f2a-45fd-afd7-89778a66b540</vt:lpwstr>
  </property>
  <property fmtid="{D5CDD505-2E9C-101B-9397-08002B2CF9AE}" pid="32" name="MSIP_Label_defa4170-0d19-0005-0004-bc88714345d2_ContentBits">
    <vt:lpwstr>0</vt:lpwstr>
  </property>
  <property fmtid="{D5CDD505-2E9C-101B-9397-08002B2CF9AE}" pid="33" name="MSIP_Label_f7b10915-602c-481a-bdc7-238d429ea082_Enabled">
    <vt:lpwstr>true</vt:lpwstr>
  </property>
  <property fmtid="{D5CDD505-2E9C-101B-9397-08002B2CF9AE}" pid="34" name="MSIP_Label_f7b10915-602c-481a-bdc7-238d429ea082_SetDate">
    <vt:lpwstr>2025-11-03T23:18:24Z</vt:lpwstr>
  </property>
  <property fmtid="{D5CDD505-2E9C-101B-9397-08002B2CF9AE}" pid="35" name="MSIP_Label_f7b10915-602c-481a-bdc7-238d429ea082_Method">
    <vt:lpwstr>Standard</vt:lpwstr>
  </property>
  <property fmtid="{D5CDD505-2E9C-101B-9397-08002B2CF9AE}" pid="36" name="MSIP_Label_f7b10915-602c-481a-bdc7-238d429ea082_Name">
    <vt:lpwstr>defa4170-0d19-0005-0004-bc88714345d2</vt:lpwstr>
  </property>
  <property fmtid="{D5CDD505-2E9C-101B-9397-08002B2CF9AE}" pid="37" name="MSIP_Label_f7b10915-602c-481a-bdc7-238d429ea082_SiteId">
    <vt:lpwstr>9f119962-8c62-431c-a8ef-e7e0a42d11fc</vt:lpwstr>
  </property>
  <property fmtid="{D5CDD505-2E9C-101B-9397-08002B2CF9AE}" pid="38" name="MSIP_Label_f7b10915-602c-481a-bdc7-238d429ea082_ActionId">
    <vt:lpwstr>9dc0744d-cb0b-4f8f-b86a-f619f21c3632</vt:lpwstr>
  </property>
  <property fmtid="{D5CDD505-2E9C-101B-9397-08002B2CF9AE}" pid="39" name="MSIP_Label_f7b10915-602c-481a-bdc7-238d429ea082_ContentBits">
    <vt:lpwstr>0</vt:lpwstr>
  </property>
  <property fmtid="{D5CDD505-2E9C-101B-9397-08002B2CF9AE}" pid="40" name="MSIP_Label_f7b10915-602c-481a-bdc7-238d429ea082_Tag">
    <vt:lpwstr>50, 3, 0, 1</vt:lpwstr>
  </property>
</Properties>
</file>