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B5BB" w14:textId="22A62448" w:rsidR="00EE5441" w:rsidRDefault="00CB5C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SUPPL</w:t>
      </w:r>
      <w:r w:rsidR="00BD6462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MENTARY MATERIAL</w:t>
      </w:r>
    </w:p>
    <w:p w14:paraId="5B8FC171" w14:textId="77777777" w:rsidR="00EE5441" w:rsidRDefault="00CB5C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SMT 1</w:t>
      </w:r>
    </w:p>
    <w:p w14:paraId="34FCE54B" w14:textId="77777777" w:rsidR="00EE5441" w:rsidRDefault="00CB5C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Sampling transects established to study Psittacidae species in urban areas of Medellín (Colombia)</w:t>
      </w:r>
    </w:p>
    <w:tbl>
      <w:tblPr>
        <w:tblStyle w:val="a"/>
        <w:tblW w:w="83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7"/>
        <w:gridCol w:w="3674"/>
        <w:gridCol w:w="1577"/>
      </w:tblGrid>
      <w:tr w:rsidR="00EE5441" w14:paraId="7CC3FEE2" w14:textId="77777777">
        <w:trPr>
          <w:jc w:val="center"/>
        </w:trPr>
        <w:tc>
          <w:tcPr>
            <w:tcW w:w="3117" w:type="dxa"/>
            <w:tcBorders>
              <w:left w:val="nil"/>
              <w:right w:val="nil"/>
            </w:tcBorders>
            <w:vAlign w:val="center"/>
          </w:tcPr>
          <w:p w14:paraId="64F52E88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Sampling transects</w:t>
            </w:r>
          </w:p>
        </w:tc>
        <w:tc>
          <w:tcPr>
            <w:tcW w:w="3674" w:type="dxa"/>
            <w:tcBorders>
              <w:left w:val="nil"/>
              <w:right w:val="nil"/>
            </w:tcBorders>
            <w:vAlign w:val="center"/>
          </w:tcPr>
          <w:p w14:paraId="2D0711C4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Reference coordinate</w:t>
            </w:r>
          </w:p>
        </w:tc>
        <w:tc>
          <w:tcPr>
            <w:tcW w:w="1577" w:type="dxa"/>
            <w:tcBorders>
              <w:left w:val="nil"/>
              <w:right w:val="nil"/>
            </w:tcBorders>
            <w:vAlign w:val="center"/>
          </w:tcPr>
          <w:p w14:paraId="0341576F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Urbanization levels (%)</w:t>
            </w:r>
          </w:p>
        </w:tc>
      </w:tr>
      <w:tr w:rsidR="00EE5441" w14:paraId="1523F0C2" w14:textId="77777777">
        <w:trPr>
          <w:jc w:val="center"/>
        </w:trPr>
        <w:tc>
          <w:tcPr>
            <w:tcW w:w="3117" w:type="dxa"/>
            <w:tcBorders>
              <w:left w:val="nil"/>
              <w:bottom w:val="nil"/>
              <w:right w:val="nil"/>
            </w:tcBorders>
            <w:vAlign w:val="center"/>
          </w:tcPr>
          <w:p w14:paraId="061621D6" w14:textId="77777777" w:rsidR="00EE5441" w:rsidRDefault="00CB5CD9" w:rsidP="008D7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 Playa</w:t>
            </w:r>
          </w:p>
        </w:tc>
        <w:tc>
          <w:tcPr>
            <w:tcW w:w="3674" w:type="dxa"/>
            <w:tcBorders>
              <w:left w:val="nil"/>
              <w:bottom w:val="nil"/>
              <w:right w:val="nil"/>
            </w:tcBorders>
            <w:vAlign w:val="center"/>
          </w:tcPr>
          <w:p w14:paraId="1A1CD15B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6°14’53.17’’ N &amp; 75°33’41.37’’W</w:t>
            </w:r>
          </w:p>
        </w:tc>
        <w:tc>
          <w:tcPr>
            <w:tcW w:w="1577" w:type="dxa"/>
            <w:tcBorders>
              <w:left w:val="nil"/>
              <w:bottom w:val="nil"/>
              <w:right w:val="nil"/>
            </w:tcBorders>
            <w:vAlign w:val="center"/>
          </w:tcPr>
          <w:p w14:paraId="5E9855E4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EE5441" w14:paraId="3BE71EEA" w14:textId="77777777">
        <w:trPr>
          <w:jc w:val="center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80FA8" w14:textId="77777777" w:rsidR="00EE5441" w:rsidRDefault="00CB5CD9" w:rsidP="008D7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Estadio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D56F4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6°15’13.03’’ N &amp; 75°35’17.72’’ W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DADF4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EE5441" w14:paraId="268E570C" w14:textId="77777777">
        <w:trPr>
          <w:jc w:val="center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9D678" w14:textId="77777777" w:rsidR="00EE5441" w:rsidRDefault="00CB5CD9" w:rsidP="008D7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Jardín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Botánico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-Parque Norte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57CCE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6°16’13.87’’ N &amp; 75°33’48.91’’ W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1C20D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EE5441" w14:paraId="2518EF71" w14:textId="77777777">
        <w:trPr>
          <w:jc w:val="center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E3788" w14:textId="77777777" w:rsidR="00EE5441" w:rsidRDefault="00CB5CD9" w:rsidP="008D7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Asomadera</w:t>
            </w:r>
            <w:proofErr w:type="spellEnd"/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543E1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6°14’13.25’’ N &amp; 75°33’51.46’’ W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A0905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 (A)*</w:t>
            </w:r>
          </w:p>
        </w:tc>
      </w:tr>
      <w:tr w:rsidR="00EE5441" w14:paraId="244070B7" w14:textId="77777777">
        <w:trPr>
          <w:jc w:val="center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687CF" w14:textId="77777777" w:rsidR="00EE5441" w:rsidRDefault="00CB5CD9" w:rsidP="008D7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Ayurá</w:t>
            </w:r>
            <w:proofErr w:type="spellEnd"/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4EE29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6°10’54.86’’ N &amp; 75°34’54.34’’ W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16C31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 (B)*</w:t>
            </w:r>
          </w:p>
        </w:tc>
      </w:tr>
      <w:tr w:rsidR="00EE5441" w14:paraId="1B4D4BB8" w14:textId="77777777">
        <w:trPr>
          <w:jc w:val="center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0D8F2" w14:textId="77777777" w:rsidR="00EE5441" w:rsidRDefault="00CB5CD9" w:rsidP="008D7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Presidenta</w:t>
            </w:r>
            <w:proofErr w:type="spellEnd"/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FAC29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6°12’27.99’’ N &amp; 75°34’12.98’’ W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C581D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E5441" w14:paraId="77FCA617" w14:textId="77777777">
        <w:trPr>
          <w:jc w:val="center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E9CFE" w14:textId="77777777" w:rsidR="00EE5441" w:rsidRDefault="00CB5CD9" w:rsidP="008D7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 Rodeo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9C397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6°12’11.3’’ N &amp; 75°36’9.414’’ W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179DB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E5441" w14:paraId="5E290FF2" w14:textId="77777777">
        <w:trPr>
          <w:jc w:val="center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CB0E6" w14:textId="77777777" w:rsidR="00EE5441" w:rsidRDefault="00CB5CD9" w:rsidP="008D7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 Volador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B3ACC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6°15’53.44’’ N &amp; 75°34’57.09’’ W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B9CBF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5441" w14:paraId="262818B1" w14:textId="77777777">
        <w:trPr>
          <w:jc w:val="center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59879" w14:textId="77777777" w:rsidR="00EE5441" w:rsidRDefault="00CB5CD9" w:rsidP="008D7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Cerro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Quitasol</w:t>
            </w:r>
            <w:proofErr w:type="spellEnd"/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73778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6°22’21.63’’ N 75°33’29.48’’ W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7C473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5441" w14:paraId="67519EBC" w14:textId="77777777">
        <w:trPr>
          <w:jc w:val="center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center"/>
          </w:tcPr>
          <w:p w14:paraId="6B47F885" w14:textId="77777777" w:rsidR="00EE5441" w:rsidRDefault="00CB5CD9" w:rsidP="008D7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 Salado</w:t>
            </w:r>
          </w:p>
        </w:tc>
        <w:tc>
          <w:tcPr>
            <w:tcW w:w="3674" w:type="dxa"/>
            <w:tcBorders>
              <w:top w:val="nil"/>
              <w:left w:val="nil"/>
              <w:right w:val="nil"/>
            </w:tcBorders>
            <w:vAlign w:val="center"/>
          </w:tcPr>
          <w:p w14:paraId="4315E553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6°8’22.099’’ N &amp; 75°34’9.577’’ W</w:t>
            </w:r>
          </w:p>
        </w:tc>
        <w:tc>
          <w:tcPr>
            <w:tcW w:w="1577" w:type="dxa"/>
            <w:tcBorders>
              <w:top w:val="nil"/>
              <w:left w:val="nil"/>
              <w:right w:val="nil"/>
            </w:tcBorders>
            <w:vAlign w:val="center"/>
          </w:tcPr>
          <w:p w14:paraId="3A0B8748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1437A5F" w14:textId="77777777" w:rsidR="00EE5441" w:rsidRDefault="00CB5C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Detailing the common name of each sample site, geographic coordinates, and corresponding levels of urbanization (percentage of built-up area at 50 m distance buffer). *For these transects with equivalent urbanization levels, “A”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indicate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site within an established urban protected park, whereas “B” denotes a site at the edge of an urban stream.</w:t>
      </w:r>
    </w:p>
    <w:p w14:paraId="54BA73D0" w14:textId="77777777" w:rsidR="00EE5441" w:rsidRDefault="00CB5C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E3E1D3C" wp14:editId="4FF44549">
            <wp:extent cx="5110480" cy="293751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 r="14013" b="1150"/>
                    <a:stretch>
                      <a:fillRect/>
                    </a:stretch>
                  </pic:blipFill>
                  <pic:spPr>
                    <a:xfrm>
                      <a:off x="0" y="0"/>
                      <a:ext cx="5110480" cy="29375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F9E295" w14:textId="77777777" w:rsidR="00EE5441" w:rsidRDefault="00CB5C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SMF 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Analysis of parrot species richness across urbanization levels in Medellín.</w:t>
      </w:r>
    </w:p>
    <w:p w14:paraId="007636D0" w14:textId="77777777" w:rsidR="00EE5441" w:rsidRDefault="00CB5C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We estimated the cumulative parrot species richness across urbanization levels based on rarefaction methods with 1 000 bootstrap replications (Gotelli &amp; Colwell, 2001), using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iNEXT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 package (Hsieh et al., 2016). Statistical significance for pairwise differences between urbanization levels was determined by examining the non-overlapping 84 % confidence intervals (CI; see MacGregor-Fors &amp; Payton, 2013). Capital letters represent significant differences between urbanization levels (different letters = statistical difference), displayed from the highest to the lowest values.</w:t>
      </w:r>
    </w:p>
    <w:p w14:paraId="52218461" w14:textId="77777777" w:rsidR="00EE5441" w:rsidRDefault="00CB5C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912EE17" wp14:editId="1644C9C4">
            <wp:extent cx="5687695" cy="2910840"/>
            <wp:effectExtent l="0" t="0" r="0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l="2010" r="2297" b="2047"/>
                    <a:stretch>
                      <a:fillRect/>
                    </a:stretch>
                  </pic:blipFill>
                  <pic:spPr>
                    <a:xfrm>
                      <a:off x="0" y="0"/>
                      <a:ext cx="5687695" cy="2910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E06DA1" w14:textId="77777777" w:rsidR="00EE5441" w:rsidRDefault="00CB5C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SMF 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Analysis of parrot abundance across urbanization levels in Medellín.</w:t>
      </w:r>
    </w:p>
    <w:p w14:paraId="3EDAB07A" w14:textId="77777777" w:rsidR="00EE5441" w:rsidRDefault="00CB5C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We compared parrot abundance (number of individuals) across urbanization levels in Medellín using violin plots and the General Linear Hypothesis Tests to assess statistical significance (p &lt; 0.05). Horizontal bars inside the violin plots indicate the median values and capital letters above them represent significant differences between urbanization levels (different letters = statistical difference), displayed from the highest to the lowest values. In this case, we found no significant differences in parrot abundance across urbanization levels.</w:t>
      </w:r>
    </w:p>
    <w:p w14:paraId="66B0FCE1" w14:textId="77777777" w:rsidR="00EE5441" w:rsidRDefault="00CB5C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SMT 2</w:t>
      </w:r>
    </w:p>
    <w:p w14:paraId="2EE2254C" w14:textId="77777777" w:rsidR="00EE5441" w:rsidRDefault="00CB5C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Analysis of the parrot and related species assemblage (i.e., species composition)</w:t>
      </w:r>
    </w:p>
    <w:tbl>
      <w:tblPr>
        <w:tblStyle w:val="a0"/>
        <w:tblpPr w:leftFromText="180" w:rightFromText="180" w:vertAnchor="text" w:tblpX="2163" w:tblpY="1"/>
        <w:tblW w:w="5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5"/>
        <w:gridCol w:w="934"/>
        <w:gridCol w:w="862"/>
        <w:gridCol w:w="863"/>
      </w:tblGrid>
      <w:tr w:rsidR="00EE5441" w14:paraId="2226F263" w14:textId="77777777">
        <w:trPr>
          <w:trHeight w:val="252"/>
        </w:trPr>
        <w:tc>
          <w:tcPr>
            <w:tcW w:w="2375" w:type="dxa"/>
            <w:tcBorders>
              <w:left w:val="nil"/>
              <w:right w:val="nil"/>
            </w:tcBorders>
            <w:vAlign w:val="center"/>
          </w:tcPr>
          <w:p w14:paraId="34BD9B1E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Spatial scale</w:t>
            </w:r>
          </w:p>
        </w:tc>
        <w:tc>
          <w:tcPr>
            <w:tcW w:w="934" w:type="dxa"/>
            <w:tcBorders>
              <w:left w:val="nil"/>
              <w:right w:val="nil"/>
            </w:tcBorders>
            <w:vAlign w:val="center"/>
          </w:tcPr>
          <w:p w14:paraId="68F4A4D0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2" w:type="dxa"/>
            <w:tcBorders>
              <w:left w:val="nil"/>
              <w:right w:val="nil"/>
            </w:tcBorders>
            <w:vAlign w:val="center"/>
          </w:tcPr>
          <w:p w14:paraId="0C63B461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863" w:type="dxa"/>
            <w:tcBorders>
              <w:left w:val="nil"/>
              <w:right w:val="nil"/>
            </w:tcBorders>
            <w:vAlign w:val="center"/>
          </w:tcPr>
          <w:p w14:paraId="680BA788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EE5441" w14:paraId="5AFDB82C" w14:textId="77777777">
        <w:trPr>
          <w:trHeight w:val="252"/>
        </w:trPr>
        <w:tc>
          <w:tcPr>
            <w:tcW w:w="2375" w:type="dxa"/>
            <w:tcBorders>
              <w:left w:val="nil"/>
              <w:right w:val="nil"/>
            </w:tcBorders>
            <w:vAlign w:val="center"/>
          </w:tcPr>
          <w:p w14:paraId="4B2D7B9B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Built-up area at 50 m</w:t>
            </w:r>
          </w:p>
        </w:tc>
        <w:tc>
          <w:tcPr>
            <w:tcW w:w="934" w:type="dxa"/>
            <w:tcBorders>
              <w:left w:val="nil"/>
              <w:right w:val="nil"/>
            </w:tcBorders>
            <w:vAlign w:val="center"/>
          </w:tcPr>
          <w:p w14:paraId="2AEBD9A1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862" w:type="dxa"/>
            <w:tcBorders>
              <w:left w:val="nil"/>
              <w:right w:val="nil"/>
            </w:tcBorders>
            <w:vAlign w:val="center"/>
          </w:tcPr>
          <w:p w14:paraId="3508B3AE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1.957</w:t>
            </w:r>
          </w:p>
        </w:tc>
        <w:tc>
          <w:tcPr>
            <w:tcW w:w="863" w:type="dxa"/>
            <w:tcBorders>
              <w:left w:val="nil"/>
              <w:right w:val="nil"/>
            </w:tcBorders>
            <w:vAlign w:val="center"/>
          </w:tcPr>
          <w:p w14:paraId="29E1EAE9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eading=h.qwdx4e7dsewy" w:colFirst="0" w:colLast="0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0.126</w:t>
            </w:r>
          </w:p>
        </w:tc>
      </w:tr>
      <w:tr w:rsidR="00EE5441" w14:paraId="580BDAAC" w14:textId="77777777">
        <w:trPr>
          <w:trHeight w:val="252"/>
        </w:trPr>
        <w:tc>
          <w:tcPr>
            <w:tcW w:w="2375" w:type="dxa"/>
            <w:tcBorders>
              <w:left w:val="nil"/>
              <w:right w:val="nil"/>
            </w:tcBorders>
            <w:vAlign w:val="center"/>
          </w:tcPr>
          <w:p w14:paraId="528F4D6B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Built-up area at 500 m</w:t>
            </w:r>
          </w:p>
        </w:tc>
        <w:tc>
          <w:tcPr>
            <w:tcW w:w="934" w:type="dxa"/>
            <w:tcBorders>
              <w:left w:val="nil"/>
              <w:right w:val="nil"/>
            </w:tcBorders>
            <w:vAlign w:val="center"/>
          </w:tcPr>
          <w:p w14:paraId="5E99EF1D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862" w:type="dxa"/>
            <w:tcBorders>
              <w:left w:val="nil"/>
              <w:right w:val="nil"/>
            </w:tcBorders>
            <w:vAlign w:val="center"/>
          </w:tcPr>
          <w:p w14:paraId="5277254B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0.298</w:t>
            </w:r>
          </w:p>
        </w:tc>
        <w:tc>
          <w:tcPr>
            <w:tcW w:w="863" w:type="dxa"/>
            <w:tcBorders>
              <w:left w:val="nil"/>
              <w:right w:val="nil"/>
            </w:tcBorders>
            <w:vAlign w:val="center"/>
          </w:tcPr>
          <w:p w14:paraId="3FDE8E74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0.762</w:t>
            </w:r>
          </w:p>
        </w:tc>
      </w:tr>
      <w:tr w:rsidR="00EE5441" w14:paraId="5071FF86" w14:textId="77777777">
        <w:trPr>
          <w:trHeight w:val="252"/>
        </w:trPr>
        <w:tc>
          <w:tcPr>
            <w:tcW w:w="2375" w:type="dxa"/>
            <w:tcBorders>
              <w:left w:val="nil"/>
              <w:right w:val="nil"/>
            </w:tcBorders>
            <w:vAlign w:val="center"/>
          </w:tcPr>
          <w:p w14:paraId="59D0CCDA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Built-up area at 1 000 m</w:t>
            </w:r>
          </w:p>
        </w:tc>
        <w:tc>
          <w:tcPr>
            <w:tcW w:w="934" w:type="dxa"/>
            <w:tcBorders>
              <w:left w:val="nil"/>
              <w:right w:val="nil"/>
            </w:tcBorders>
            <w:vAlign w:val="center"/>
          </w:tcPr>
          <w:p w14:paraId="3A4FB544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862" w:type="dxa"/>
            <w:tcBorders>
              <w:left w:val="nil"/>
              <w:right w:val="nil"/>
            </w:tcBorders>
            <w:vAlign w:val="center"/>
          </w:tcPr>
          <w:p w14:paraId="1EE9C507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5.028</w:t>
            </w:r>
          </w:p>
        </w:tc>
        <w:tc>
          <w:tcPr>
            <w:tcW w:w="863" w:type="dxa"/>
            <w:tcBorders>
              <w:left w:val="nil"/>
              <w:right w:val="nil"/>
            </w:tcBorders>
            <w:vAlign w:val="center"/>
          </w:tcPr>
          <w:p w14:paraId="0938506C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</w:t>
            </w:r>
          </w:p>
        </w:tc>
      </w:tr>
    </w:tbl>
    <w:p w14:paraId="40648BAD" w14:textId="77777777" w:rsidR="00EE5441" w:rsidRDefault="00CB5C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C4F3713" w14:textId="77777777" w:rsidR="00EE5441" w:rsidRDefault="00EE54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00BBD4" w14:textId="77777777" w:rsidR="00EE5441" w:rsidRDefault="00EE54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328B75" w14:textId="77777777" w:rsidR="00EE5441" w:rsidRDefault="00EE54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1CE05F" w14:textId="77777777" w:rsidR="00EE5441" w:rsidRDefault="00CB5C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To determine if the species composition of parrots and related species varied across spatial scales, we performed a Permutational Multivariate Analysis of Variance (PERMANOVA). The results are summarized in the following table, where a statistically significant relationship is shown only between species composition and the percentage of built-up area measured at the 1 000 m scale. However, the explained variance was very low across scales (R2 &lt; 0.1).</w:t>
      </w:r>
    </w:p>
    <w:p w14:paraId="61D86052" w14:textId="77777777" w:rsidR="00EE5441" w:rsidRDefault="00CB5C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SMT 3</w:t>
      </w:r>
    </w:p>
    <w:p w14:paraId="44F41264" w14:textId="77777777" w:rsidR="00EE5441" w:rsidRDefault="00CB5C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Analysis of the parrot and related species assemblage (i.e., species composition)</w:t>
      </w:r>
    </w:p>
    <w:tbl>
      <w:tblPr>
        <w:tblStyle w:val="a1"/>
        <w:tblpPr w:leftFromText="180" w:rightFromText="180" w:vertAnchor="text" w:tblpX="2531" w:tblpY="1"/>
        <w:tblW w:w="42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16"/>
        <w:gridCol w:w="666"/>
        <w:gridCol w:w="666"/>
        <w:gridCol w:w="850"/>
      </w:tblGrid>
      <w:tr w:rsidR="00EE5441" w14:paraId="750D099F" w14:textId="77777777">
        <w:trPr>
          <w:trHeight w:val="250"/>
        </w:trPr>
        <w:tc>
          <w:tcPr>
            <w:tcW w:w="2116" w:type="dxa"/>
            <w:tcBorders>
              <w:left w:val="nil"/>
              <w:right w:val="nil"/>
            </w:tcBorders>
            <w:vAlign w:val="center"/>
          </w:tcPr>
          <w:p w14:paraId="62724FAE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Spatial scale</w:t>
            </w:r>
          </w:p>
        </w:tc>
        <w:tc>
          <w:tcPr>
            <w:tcW w:w="666" w:type="dxa"/>
            <w:tcBorders>
              <w:left w:val="nil"/>
              <w:right w:val="nil"/>
            </w:tcBorders>
            <w:vAlign w:val="center"/>
          </w:tcPr>
          <w:p w14:paraId="5667BFBE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66" w:type="dxa"/>
            <w:tcBorders>
              <w:left w:val="nil"/>
              <w:right w:val="nil"/>
            </w:tcBorders>
            <w:vAlign w:val="center"/>
          </w:tcPr>
          <w:p w14:paraId="6533CDB0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0F66C7D6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EE5441" w14:paraId="33DEB97D" w14:textId="77777777">
        <w:trPr>
          <w:trHeight w:val="250"/>
        </w:trPr>
        <w:tc>
          <w:tcPr>
            <w:tcW w:w="2116" w:type="dxa"/>
            <w:tcBorders>
              <w:left w:val="nil"/>
              <w:right w:val="nil"/>
            </w:tcBorders>
            <w:vAlign w:val="center"/>
          </w:tcPr>
          <w:p w14:paraId="10371166" w14:textId="5AD5D74D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Built-up area at 1</w:t>
            </w:r>
            <w:r w:rsidR="001A7F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000 m</w:t>
            </w:r>
          </w:p>
        </w:tc>
        <w:tc>
          <w:tcPr>
            <w:tcW w:w="666" w:type="dxa"/>
            <w:tcBorders>
              <w:left w:val="nil"/>
              <w:right w:val="nil"/>
            </w:tcBorders>
            <w:vAlign w:val="center"/>
          </w:tcPr>
          <w:p w14:paraId="2BA33A9E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0.080</w:t>
            </w:r>
          </w:p>
        </w:tc>
        <w:tc>
          <w:tcPr>
            <w:tcW w:w="666" w:type="dxa"/>
            <w:tcBorders>
              <w:left w:val="nil"/>
              <w:right w:val="nil"/>
            </w:tcBorders>
            <w:vAlign w:val="center"/>
          </w:tcPr>
          <w:p w14:paraId="300C7A98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2.439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69C7DFB9" w14:textId="77777777" w:rsidR="00EE5441" w:rsidRDefault="00CB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0.065</w:t>
            </w:r>
          </w:p>
        </w:tc>
      </w:tr>
    </w:tbl>
    <w:p w14:paraId="027EBEDD" w14:textId="77777777" w:rsidR="00EE5441" w:rsidRDefault="00CB5C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36CDE94" w14:textId="77777777" w:rsidR="00EE5441" w:rsidRDefault="00EE54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85B5C9" w14:textId="77777777" w:rsidR="001A7F8E" w:rsidRDefault="00CB5C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2A3B9C0" w14:textId="58B1869A" w:rsidR="00EE5441" w:rsidRDefault="00CB5C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 evaluate the relationship across urbanization levels based on categories, we performed a second PERMANOVA. For this analysis, we grouped the percentage of built-up area at 1000 m into four categories: 0-25 %, 26-50 %, 51-75 %, and 76-100 %. This approach allows us to evaluate if there were significant differences in species composition across urbanization levels, as a complement analysis based on specific values of built-up cover.</w:t>
      </w:r>
    </w:p>
    <w:p w14:paraId="2E19A709" w14:textId="77777777" w:rsidR="00EE5441" w:rsidRDefault="00CB5C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The analysis suggests that the parrot species assemblage composition exhibits a changing trend along this categorical gradient, although the result was only marginally significant.</w:t>
      </w:r>
    </w:p>
    <w:p w14:paraId="2929C529" w14:textId="77777777" w:rsidR="00EE5441" w:rsidRDefault="00CB5C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REFERENCES</w:t>
      </w:r>
    </w:p>
    <w:p w14:paraId="427D74E9" w14:textId="77777777" w:rsidR="00EE5441" w:rsidRPr="00754071" w:rsidRDefault="00CB5CD9">
      <w:pPr>
        <w:spacing w:before="240" w:after="24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40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Gotelli, N. J., &amp; Colwell, R. K. (2001). Quantifying biodiversity: Procedures and pitfalls in the measurement and comparison of species richness. </w:t>
      </w:r>
      <w:r w:rsidRPr="0075407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Ecology Letters</w:t>
      </w:r>
      <w:r w:rsidRPr="007540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5407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4</w:t>
      </w:r>
      <w:r w:rsidRPr="007540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(4), 379–391.</w:t>
      </w:r>
      <w:hyperlink r:id="rId7">
        <w:r w:rsidRPr="0075407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hyperlink>
      <w:hyperlink r:id="rId8">
        <w:r w:rsidRPr="0075407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https://doi.org/10.1046/j.1461-0248.2001.00230.x</w:t>
        </w:r>
      </w:hyperlink>
    </w:p>
    <w:p w14:paraId="61FADF44" w14:textId="77777777" w:rsidR="00EE5441" w:rsidRPr="00754071" w:rsidRDefault="00CB5CD9">
      <w:pPr>
        <w:spacing w:before="240" w:after="24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40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Hsieh, T. C., Ma, K. H., &amp; Chao, A. (2016). </w:t>
      </w:r>
      <w:proofErr w:type="spellStart"/>
      <w:r w:rsidRPr="007540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iNEXT</w:t>
      </w:r>
      <w:proofErr w:type="spellEnd"/>
      <w:r w:rsidRPr="007540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An R package for rarefaction and extrapolation of species diversity (Hill numbers). </w:t>
      </w:r>
      <w:r w:rsidRPr="0075407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Methods in Ecology and Evolution</w:t>
      </w:r>
      <w:r w:rsidRPr="007540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5407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7</w:t>
      </w:r>
      <w:r w:rsidRPr="007540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(12), 1451–1456.</w:t>
      </w:r>
      <w:hyperlink r:id="rId9">
        <w:r w:rsidRPr="0075407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hyperlink>
      <w:hyperlink r:id="rId10">
        <w:r w:rsidRPr="0075407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https://doi.org/10.1111/2041-210X.12613</w:t>
        </w:r>
      </w:hyperlink>
    </w:p>
    <w:p w14:paraId="70541EA0" w14:textId="77777777" w:rsidR="00EE5441" w:rsidRPr="00754071" w:rsidRDefault="00CB5CD9">
      <w:pPr>
        <w:spacing w:before="240" w:after="240" w:line="24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40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MacGregor-Fors, I., &amp; Payton, M. E. (2013). Contrasting diversity values: Statistical inferences based on overlapping confidence intervals. </w:t>
      </w:r>
      <w:proofErr w:type="spellStart"/>
      <w:r w:rsidRPr="0075407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PLoS</w:t>
      </w:r>
      <w:proofErr w:type="spellEnd"/>
      <w:r w:rsidRPr="0075407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ONE</w:t>
      </w:r>
      <w:r w:rsidRPr="007540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5407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8</w:t>
      </w:r>
      <w:r w:rsidRPr="007540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(2), e56794.</w:t>
      </w:r>
      <w:hyperlink r:id="rId11">
        <w:r w:rsidRPr="0075407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hyperlink>
      <w:hyperlink r:id="rId12">
        <w:r w:rsidRPr="0075407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https://doi.org/10.1371/journal.pone.0056794</w:t>
        </w:r>
      </w:hyperlink>
    </w:p>
    <w:p w14:paraId="6627C1AE" w14:textId="77777777" w:rsidR="00EE5441" w:rsidRDefault="00EE54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sectPr w:rsidR="00EE5441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126934F-1E7B-4F56-A891-2F7BF4AAD034}"/>
    <w:embedBold r:id="rId2" w:fontKey="{0B224BCD-60C5-443B-84B3-9D06AFFC58F5}"/>
    <w:embedItalic r:id="rId3" w:fontKey="{279B04D3-C831-4078-BE5C-909CFA2A10E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07CAC51A-0D5C-4532-95E3-96A91066888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ECEE7BE1-FCE8-4B92-8F6E-5FE16E2271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441"/>
    <w:rsid w:val="001A7F8E"/>
    <w:rsid w:val="00754071"/>
    <w:rsid w:val="008D76C8"/>
    <w:rsid w:val="00BC551D"/>
    <w:rsid w:val="00BD6462"/>
    <w:rsid w:val="00C6130B"/>
    <w:rsid w:val="00CB5CD9"/>
    <w:rsid w:val="00EE5441"/>
    <w:rsid w:val="00EF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4DEFDD"/>
  <w15:docId w15:val="{3FD91292-3F27-40BB-A7C0-65D3B96A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Nmerodelnea">
    <w:name w:val="line number"/>
  </w:style>
  <w:style w:type="character" w:styleId="Hipervnculo">
    <w:name w:val="Hyperlink"/>
    <w:rPr>
      <w:color w:val="000080"/>
      <w:u w:val="single"/>
    </w:rPr>
  </w:style>
  <w:style w:type="character" w:styleId="Hipervnculovisitado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Revisin">
    <w:name w:val="Revision"/>
    <w:uiPriority w:val="99"/>
    <w:semiHidden/>
    <w:qFormat/>
    <w:rsid w:val="00A872E6"/>
    <w:rPr>
      <w:lang w:val="en-US"/>
    </w:rPr>
  </w:style>
  <w:style w:type="paragraph" w:styleId="Prrafodelista">
    <w:name w:val="List Paragraph"/>
    <w:basedOn w:val="Normal"/>
    <w:uiPriority w:val="34"/>
    <w:qFormat/>
    <w:rsid w:val="00913C33"/>
    <w:pPr>
      <w:ind w:left="720"/>
      <w:contextualSpacing/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Bibliografa">
    <w:name w:val="Bibliography"/>
    <w:basedOn w:val="Normal"/>
    <w:next w:val="Normal"/>
    <w:qFormat/>
    <w:pPr>
      <w:ind w:left="720" w:hanging="720"/>
    </w:pPr>
  </w:style>
  <w:style w:type="table" w:styleId="Tablaconcuadrcula">
    <w:name w:val="Table Grid"/>
    <w:basedOn w:val="Tablanormal"/>
    <w:uiPriority w:val="39"/>
    <w:rsid w:val="007A3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46/j.1461-0248.2001.00230.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46/j.1461-0248.2001.00230.x" TargetMode="External"/><Relationship Id="rId12" Type="http://schemas.openxmlformats.org/officeDocument/2006/relationships/hyperlink" Target="https://doi.org/10.1371/journal.pone.005679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hyperlink" Target="https://doi.org/10.1371/journal.pone.0056794" TargetMode="External"/><Relationship Id="rId5" Type="http://schemas.openxmlformats.org/officeDocument/2006/relationships/image" Target="media/image1.jpg"/><Relationship Id="rId10" Type="http://schemas.openxmlformats.org/officeDocument/2006/relationships/hyperlink" Target="https://doi.org/10.1111/2041-210X.126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11/2041-210X.12613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iiGV6pfBqYtH4UXTYwxqwifMUQ==">CgMxLjAyDmgucXdkeDRlN2RzZXd5OAByITFpaWNEd2FjM3UyYTE3T1NhdDlOQUxzbEZQZDFFaVZ2Tg==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750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zuluaga</dc:creator>
  <cp:lastModifiedBy>Vanessa Nielsen</cp:lastModifiedBy>
  <cp:revision>5</cp:revision>
  <dcterms:created xsi:type="dcterms:W3CDTF">2024-11-28T02:59:00Z</dcterms:created>
  <dcterms:modified xsi:type="dcterms:W3CDTF">2026-05-27T21:40:00Z</dcterms:modified>
</cp:coreProperties>
</file>